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44" w:rsidRPr="008C7E20" w:rsidRDefault="003C48AF">
      <w:pPr>
        <w:jc w:val="center"/>
        <w:rPr>
          <w:b/>
          <w:sz w:val="32"/>
          <w:u w:val="single"/>
        </w:rPr>
      </w:pPr>
      <w:r>
        <w:rPr>
          <w:b/>
          <w:noProof/>
          <w:sz w:val="20"/>
          <w:u w:val="single"/>
        </w:rPr>
        <w:pict>
          <v:shapetype id="_x0000_t202" coordsize="21600,21600" o:spt="202" path="m,l,21600r21600,l21600,xe">
            <v:stroke joinstyle="miter"/>
            <v:path gradientshapeok="t" o:connecttype="rect"/>
          </v:shapetype>
          <v:shape id="_x0000_s1029" type="#_x0000_t202" style="position:absolute;left:0;text-align:left;margin-left:5.25pt;margin-top:9pt;width:90pt;height:612.2pt;z-index:-251669504;mso-wrap-edited:f" wrapcoords="-180 0 -180 21567 21600 21567 21600 0 -180 0" fillcolor="silver" stroked="f">
            <v:textbox style="layout-flow:vertical;mso-layout-flow-alt:bottom-to-top">
              <w:txbxContent>
                <w:p w:rsidR="00E33C69" w:rsidRPr="00071EF7" w:rsidRDefault="00E33C69">
                  <w:pPr>
                    <w:pStyle w:val="Heading8"/>
                    <w:rPr>
                      <w:sz w:val="132"/>
                      <w:szCs w:val="132"/>
                    </w:rPr>
                  </w:pPr>
                  <w:r w:rsidRPr="00071EF7">
                    <w:rPr>
                      <w:sz w:val="132"/>
                      <w:szCs w:val="132"/>
                    </w:rPr>
                    <w:t>Suction Regulators</w:t>
                  </w:r>
                </w:p>
              </w:txbxContent>
            </v:textbox>
            <w10:wrap type="tight"/>
          </v:shape>
        </w:pict>
      </w:r>
    </w:p>
    <w:p w:rsidR="00543B44" w:rsidRPr="008C7E20" w:rsidRDefault="00543B44">
      <w:pPr>
        <w:jc w:val="center"/>
        <w:rPr>
          <w:b/>
          <w:sz w:val="32"/>
          <w:u w:val="single"/>
        </w:rPr>
      </w:pPr>
    </w:p>
    <w:p w:rsidR="00543B44" w:rsidRPr="008C7E20" w:rsidRDefault="00543B44">
      <w:pPr>
        <w:jc w:val="center"/>
        <w:rPr>
          <w:bCs/>
          <w:sz w:val="32"/>
        </w:rPr>
      </w:pPr>
    </w:p>
    <w:p w:rsidR="00362DB1" w:rsidRDefault="00CD5E1C" w:rsidP="00362DB1">
      <w:pPr>
        <w:pStyle w:val="Footer"/>
        <w:ind w:right="360"/>
        <w:jc w:val="center"/>
        <w:rPr>
          <w:rFonts w:ascii="Times New Roman" w:hAnsi="Times New Roman"/>
          <w:sz w:val="56"/>
          <w:szCs w:val="56"/>
        </w:rPr>
      </w:pPr>
      <w:r w:rsidRPr="008C7E20">
        <w:rPr>
          <w:rFonts w:ascii="Times New Roman" w:hAnsi="Times New Roman"/>
          <w:sz w:val="56"/>
          <w:szCs w:val="56"/>
        </w:rPr>
        <w:t xml:space="preserve">Recommendations for </w:t>
      </w:r>
      <w:r w:rsidR="00CB101D" w:rsidRPr="008C7E20">
        <w:rPr>
          <w:rFonts w:ascii="Times New Roman" w:hAnsi="Times New Roman"/>
          <w:sz w:val="56"/>
          <w:szCs w:val="56"/>
        </w:rPr>
        <w:t>Cleaning</w:t>
      </w:r>
      <w:r w:rsidR="00C80363">
        <w:rPr>
          <w:rFonts w:ascii="Times New Roman" w:hAnsi="Times New Roman"/>
          <w:sz w:val="56"/>
          <w:szCs w:val="56"/>
        </w:rPr>
        <w:t>, Disinfection</w:t>
      </w:r>
      <w:r w:rsidR="008B1F42" w:rsidRPr="008C7E20">
        <w:rPr>
          <w:rFonts w:ascii="Times New Roman" w:hAnsi="Times New Roman"/>
          <w:sz w:val="56"/>
          <w:szCs w:val="56"/>
        </w:rPr>
        <w:t xml:space="preserve"> </w:t>
      </w:r>
      <w:r w:rsidR="00CB101D" w:rsidRPr="008C7E20">
        <w:rPr>
          <w:rFonts w:ascii="Times New Roman" w:hAnsi="Times New Roman"/>
          <w:sz w:val="56"/>
          <w:szCs w:val="56"/>
        </w:rPr>
        <w:t xml:space="preserve">and </w:t>
      </w:r>
      <w:r w:rsidR="000065E5">
        <w:rPr>
          <w:rFonts w:ascii="Times New Roman" w:hAnsi="Times New Roman"/>
          <w:sz w:val="56"/>
          <w:szCs w:val="56"/>
        </w:rPr>
        <w:t>Rep</w:t>
      </w:r>
      <w:r w:rsidR="008B1F42" w:rsidRPr="008C7E20">
        <w:rPr>
          <w:rFonts w:ascii="Times New Roman" w:hAnsi="Times New Roman"/>
          <w:sz w:val="56"/>
          <w:szCs w:val="56"/>
        </w:rPr>
        <w:t>rocessing</w:t>
      </w:r>
      <w:r w:rsidR="009B5719">
        <w:rPr>
          <w:rFonts w:ascii="Times New Roman" w:hAnsi="Times New Roman"/>
          <w:sz w:val="56"/>
          <w:szCs w:val="56"/>
        </w:rPr>
        <w:t>:</w:t>
      </w:r>
    </w:p>
    <w:p w:rsidR="009B5719" w:rsidRDefault="009B5719" w:rsidP="00362DB1">
      <w:pPr>
        <w:pStyle w:val="Footer"/>
        <w:ind w:right="360"/>
        <w:jc w:val="center"/>
        <w:rPr>
          <w:rFonts w:ascii="Times New Roman" w:hAnsi="Times New Roman"/>
          <w:sz w:val="56"/>
          <w:szCs w:val="56"/>
        </w:rPr>
      </w:pPr>
    </w:p>
    <w:p w:rsidR="009B5719" w:rsidRPr="009B5719" w:rsidRDefault="009B5719" w:rsidP="009B5719">
      <w:pPr>
        <w:pStyle w:val="Footer"/>
        <w:ind w:right="360"/>
        <w:jc w:val="center"/>
        <w:rPr>
          <w:rFonts w:ascii="Times New Roman" w:hAnsi="Times New Roman"/>
          <w:sz w:val="44"/>
          <w:szCs w:val="44"/>
        </w:rPr>
      </w:pPr>
      <w:r w:rsidRPr="009B5719">
        <w:rPr>
          <w:rFonts w:ascii="Times New Roman" w:hAnsi="Times New Roman"/>
          <w:sz w:val="44"/>
          <w:szCs w:val="44"/>
        </w:rPr>
        <w:t>Boehringer 3800 &amp;3900 Series</w:t>
      </w:r>
      <w:bookmarkStart w:id="0" w:name="_GoBack"/>
      <w:bookmarkEnd w:id="0"/>
    </w:p>
    <w:p w:rsidR="009B5719" w:rsidRPr="009B5719" w:rsidRDefault="009B5719" w:rsidP="009B5719">
      <w:pPr>
        <w:pStyle w:val="Footer"/>
        <w:ind w:right="360"/>
        <w:jc w:val="center"/>
        <w:rPr>
          <w:rFonts w:ascii="Times New Roman" w:hAnsi="Times New Roman"/>
          <w:sz w:val="44"/>
          <w:szCs w:val="44"/>
        </w:rPr>
      </w:pPr>
      <w:r w:rsidRPr="009B5719">
        <w:rPr>
          <w:rFonts w:ascii="Times New Roman" w:hAnsi="Times New Roman"/>
          <w:sz w:val="44"/>
          <w:szCs w:val="44"/>
        </w:rPr>
        <w:t xml:space="preserve">Suction Regulators </w:t>
      </w:r>
    </w:p>
    <w:p w:rsidR="009B5719" w:rsidRPr="008C7E20" w:rsidRDefault="009B5719" w:rsidP="00362DB1">
      <w:pPr>
        <w:pStyle w:val="Footer"/>
        <w:ind w:right="360"/>
        <w:jc w:val="center"/>
        <w:rPr>
          <w:rFonts w:ascii="Times New Roman" w:hAnsi="Times New Roman"/>
          <w:sz w:val="56"/>
          <w:szCs w:val="56"/>
        </w:rPr>
      </w:pPr>
    </w:p>
    <w:p w:rsidR="00B65078" w:rsidRPr="008C7E20" w:rsidRDefault="00B65078" w:rsidP="00362DB1">
      <w:pPr>
        <w:pStyle w:val="Footer"/>
        <w:ind w:right="360"/>
        <w:jc w:val="center"/>
        <w:rPr>
          <w:rFonts w:ascii="Times New Roman" w:hAnsi="Times New Roman"/>
          <w:sz w:val="56"/>
          <w:szCs w:val="56"/>
        </w:rPr>
      </w:pPr>
    </w:p>
    <w:p w:rsidR="002C02F2" w:rsidRPr="008C7E20" w:rsidRDefault="005D02EE">
      <w:pPr>
        <w:jc w:val="center"/>
        <w:rPr>
          <w:bCs/>
          <w:sz w:val="32"/>
        </w:rPr>
      </w:pPr>
      <w:r w:rsidRPr="008C7E20">
        <w:rPr>
          <w:b/>
          <w:noProof/>
          <w:sz w:val="32"/>
        </w:rPr>
        <w:drawing>
          <wp:inline distT="0" distB="0" distL="0" distR="0">
            <wp:extent cx="4791075" cy="3194049"/>
            <wp:effectExtent l="19050" t="0" r="9525" b="0"/>
            <wp:docPr id="1" name="Picture 1" descr="DSC0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5952"/>
                    <pic:cNvPicPr>
                      <a:picLocks noChangeAspect="1" noChangeArrowheads="1"/>
                    </pic:cNvPicPr>
                  </pic:nvPicPr>
                  <pic:blipFill>
                    <a:blip r:embed="rId8" cstate="print"/>
                    <a:stretch>
                      <a:fillRect/>
                    </a:stretch>
                  </pic:blipFill>
                  <pic:spPr bwMode="auto">
                    <a:xfrm>
                      <a:off x="0" y="0"/>
                      <a:ext cx="4795153" cy="3196767"/>
                    </a:xfrm>
                    <a:prstGeom prst="rect">
                      <a:avLst/>
                    </a:prstGeom>
                    <a:ln>
                      <a:noFill/>
                    </a:ln>
                    <a:effectLst>
                      <a:softEdge rad="112500"/>
                    </a:effectLst>
                  </pic:spPr>
                </pic:pic>
              </a:graphicData>
            </a:graphic>
          </wp:inline>
        </w:drawing>
      </w:r>
    </w:p>
    <w:p w:rsidR="002C02F2" w:rsidRPr="008C7E20" w:rsidRDefault="002C02F2">
      <w:pPr>
        <w:jc w:val="center"/>
        <w:rPr>
          <w:bCs/>
          <w:sz w:val="32"/>
        </w:rPr>
      </w:pPr>
    </w:p>
    <w:p w:rsidR="00543B44" w:rsidRPr="008C7E20" w:rsidRDefault="00543B44">
      <w:pPr>
        <w:jc w:val="center"/>
        <w:rPr>
          <w:b/>
          <w:sz w:val="32"/>
          <w:u w:val="single"/>
        </w:rPr>
      </w:pPr>
    </w:p>
    <w:p w:rsidR="00543B44" w:rsidRPr="008C7E20" w:rsidRDefault="00543B44">
      <w:pPr>
        <w:jc w:val="center"/>
        <w:rPr>
          <w:b/>
          <w:sz w:val="32"/>
          <w:u w:val="single"/>
        </w:rPr>
      </w:pPr>
    </w:p>
    <w:p w:rsidR="00543B44" w:rsidRPr="008C7E20" w:rsidRDefault="005D02EE">
      <w:pPr>
        <w:tabs>
          <w:tab w:val="left" w:pos="0"/>
        </w:tabs>
        <w:suppressAutoHyphens/>
        <w:rPr>
          <w:b/>
          <w:spacing w:val="-3"/>
        </w:rPr>
      </w:pPr>
      <w:r w:rsidRPr="008C7E20">
        <w:rPr>
          <w:b/>
          <w:noProof/>
          <w:spacing w:val="-3"/>
        </w:rPr>
        <w:drawing>
          <wp:inline distT="0" distB="0" distL="0" distR="0">
            <wp:extent cx="2806700" cy="596265"/>
            <wp:effectExtent l="19050" t="0" r="0" b="0"/>
            <wp:docPr id="4" name="Picture 4" descr="Boehringer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hringer Logo grayscale"/>
                    <pic:cNvPicPr>
                      <a:picLocks noChangeAspect="1" noChangeArrowheads="1"/>
                    </pic:cNvPicPr>
                  </pic:nvPicPr>
                  <pic:blipFill>
                    <a:blip r:embed="rId9" cstate="print"/>
                    <a:srcRect/>
                    <a:stretch>
                      <a:fillRect/>
                    </a:stretch>
                  </pic:blipFill>
                  <pic:spPr bwMode="auto">
                    <a:xfrm>
                      <a:off x="0" y="0"/>
                      <a:ext cx="2806700" cy="596265"/>
                    </a:xfrm>
                    <a:prstGeom prst="rect">
                      <a:avLst/>
                    </a:prstGeom>
                    <a:noFill/>
                    <a:ln w="9525">
                      <a:noFill/>
                      <a:miter lim="800000"/>
                      <a:headEnd/>
                      <a:tailEnd/>
                    </a:ln>
                  </pic:spPr>
                </pic:pic>
              </a:graphicData>
            </a:graphic>
          </wp:inline>
        </w:drawing>
      </w:r>
    </w:p>
    <w:p w:rsidR="00543B44" w:rsidRPr="008C7E20" w:rsidRDefault="00543B44">
      <w:pPr>
        <w:tabs>
          <w:tab w:val="left" w:pos="0"/>
        </w:tabs>
        <w:suppressAutoHyphens/>
        <w:rPr>
          <w:b/>
          <w:spacing w:val="-3"/>
        </w:rPr>
      </w:pPr>
      <w:r w:rsidRPr="008C7E20">
        <w:rPr>
          <w:b/>
          <w:spacing w:val="-3"/>
        </w:rPr>
        <w:tab/>
        <w:t>Boehringer Laboratories,</w:t>
      </w:r>
      <w:r w:rsidR="009B5719">
        <w:rPr>
          <w:b/>
          <w:spacing w:val="-3"/>
        </w:rPr>
        <w:t xml:space="preserve"> LLC</w:t>
      </w:r>
    </w:p>
    <w:p w:rsidR="00543B44" w:rsidRPr="008C7E20" w:rsidRDefault="00DF1D66">
      <w:pPr>
        <w:tabs>
          <w:tab w:val="left" w:pos="0"/>
        </w:tabs>
        <w:suppressAutoHyphens/>
        <w:rPr>
          <w:b/>
          <w:spacing w:val="-3"/>
        </w:rPr>
      </w:pPr>
      <w:r>
        <w:rPr>
          <w:b/>
          <w:spacing w:val="-3"/>
        </w:rPr>
        <w:tab/>
      </w:r>
      <w:r w:rsidR="00CB101D" w:rsidRPr="008C7E20">
        <w:rPr>
          <w:b/>
          <w:spacing w:val="-3"/>
        </w:rPr>
        <w:t>300 Thoms Drive</w:t>
      </w:r>
    </w:p>
    <w:p w:rsidR="00543B44" w:rsidRPr="008C7E20" w:rsidRDefault="00543B44">
      <w:pPr>
        <w:tabs>
          <w:tab w:val="left" w:pos="0"/>
        </w:tabs>
        <w:suppressAutoHyphens/>
        <w:rPr>
          <w:b/>
          <w:spacing w:val="-3"/>
        </w:rPr>
      </w:pPr>
      <w:r w:rsidRPr="008C7E20">
        <w:rPr>
          <w:b/>
          <w:spacing w:val="-3"/>
        </w:rPr>
        <w:tab/>
      </w:r>
      <w:r w:rsidR="00CB101D" w:rsidRPr="008C7E20">
        <w:rPr>
          <w:b/>
          <w:spacing w:val="-3"/>
        </w:rPr>
        <w:t>Phoenixville</w:t>
      </w:r>
      <w:r w:rsidRPr="008C7E20">
        <w:rPr>
          <w:b/>
          <w:spacing w:val="-3"/>
        </w:rPr>
        <w:t xml:space="preserve">, PA </w:t>
      </w:r>
      <w:r w:rsidR="00CB101D" w:rsidRPr="008C7E20">
        <w:rPr>
          <w:b/>
          <w:spacing w:val="-3"/>
        </w:rPr>
        <w:t>19460</w:t>
      </w:r>
    </w:p>
    <w:p w:rsidR="00543B44" w:rsidRPr="008C7E20" w:rsidRDefault="00543B44">
      <w:pPr>
        <w:tabs>
          <w:tab w:val="left" w:pos="0"/>
        </w:tabs>
        <w:suppressAutoHyphens/>
        <w:rPr>
          <w:b/>
          <w:spacing w:val="-3"/>
        </w:rPr>
      </w:pPr>
      <w:r w:rsidRPr="008C7E20">
        <w:rPr>
          <w:b/>
          <w:spacing w:val="-3"/>
        </w:rPr>
        <w:tab/>
      </w:r>
      <w:r w:rsidR="00501312">
        <w:rPr>
          <w:b/>
          <w:spacing w:val="-3"/>
        </w:rPr>
        <w:t>(</w:t>
      </w:r>
      <w:r w:rsidRPr="008C7E20">
        <w:rPr>
          <w:b/>
          <w:spacing w:val="-3"/>
        </w:rPr>
        <w:t>800</w:t>
      </w:r>
      <w:r w:rsidR="00501312">
        <w:rPr>
          <w:b/>
          <w:spacing w:val="-3"/>
        </w:rPr>
        <w:t xml:space="preserve">) </w:t>
      </w:r>
      <w:r w:rsidRPr="008C7E20">
        <w:rPr>
          <w:b/>
          <w:spacing w:val="-3"/>
        </w:rPr>
        <w:t>642-4945</w:t>
      </w:r>
    </w:p>
    <w:p w:rsidR="00543B44" w:rsidRPr="008C7E20" w:rsidRDefault="00543B44">
      <w:pPr>
        <w:jc w:val="center"/>
        <w:rPr>
          <w:b/>
          <w:sz w:val="32"/>
          <w:u w:val="single"/>
        </w:rPr>
      </w:pPr>
    </w:p>
    <w:p w:rsidR="006B4ABA" w:rsidRPr="008C7E20" w:rsidRDefault="006B4ABA" w:rsidP="00694DF3">
      <w:pPr>
        <w:spacing w:after="240"/>
        <w:rPr>
          <w:b/>
          <w:sz w:val="28"/>
          <w:szCs w:val="28"/>
          <w:u w:val="single"/>
        </w:rPr>
      </w:pPr>
    </w:p>
    <w:p w:rsidR="00AE6A27" w:rsidRDefault="003C48AF" w:rsidP="00AE6A27">
      <w:pPr>
        <w:rPr>
          <w:b/>
          <w:sz w:val="28"/>
          <w:szCs w:val="28"/>
          <w:u w:val="single"/>
        </w:rPr>
      </w:pPr>
      <w:r>
        <w:rPr>
          <w:noProof/>
        </w:rPr>
        <w:lastRenderedPageBreak/>
        <w:pict>
          <v:shape id="_x0000_s1204" type="#_x0000_t202" style="position:absolute;margin-left:-6pt;margin-top:6.75pt;width:486pt;height:45pt;z-index:251696128" stroked="f">
            <v:fill color2="#969696" angle="-90" type="gradient"/>
            <v:textbox style="mso-next-textbox:#_x0000_s1204" inset=",10.8pt">
              <w:txbxContent>
                <w:p w:rsidR="00E33C69" w:rsidRDefault="00E33C69" w:rsidP="00AE6A27">
                  <w:pPr>
                    <w:ind w:left="720" w:hanging="720"/>
                    <w:rPr>
                      <w:rFonts w:ascii="Arial Narrow" w:hAnsi="Arial Narrow" w:cs="Arial"/>
                      <w:b/>
                      <w:sz w:val="48"/>
                    </w:rPr>
                  </w:pPr>
                  <w:r>
                    <w:rPr>
                      <w:rFonts w:cs="Arial"/>
                      <w:b/>
                      <w:i/>
                      <w:iCs/>
                      <w:color w:val="FFFFFF"/>
                      <w:sz w:val="72"/>
                    </w:rPr>
                    <w:tab/>
                  </w:r>
                  <w:r>
                    <w:rPr>
                      <w:rFonts w:ascii="Arial Narrow" w:hAnsi="Arial Narrow" w:cs="Arial"/>
                      <w:b/>
                      <w:sz w:val="48"/>
                    </w:rPr>
                    <w:t>Quick Reference</w:t>
                  </w:r>
                </w:p>
              </w:txbxContent>
            </v:textbox>
          </v:shape>
        </w:pict>
      </w:r>
    </w:p>
    <w:p w:rsidR="00AE6A27" w:rsidRDefault="00AE6A27" w:rsidP="00AE6A27">
      <w:pPr>
        <w:rPr>
          <w:b/>
          <w:sz w:val="28"/>
          <w:szCs w:val="28"/>
          <w:u w:val="single"/>
        </w:rPr>
      </w:pPr>
    </w:p>
    <w:p w:rsidR="00AE6A27" w:rsidRDefault="00AE6A27" w:rsidP="00AE6A27">
      <w:pPr>
        <w:rPr>
          <w:b/>
          <w:sz w:val="28"/>
          <w:szCs w:val="28"/>
          <w:u w:val="single"/>
        </w:rPr>
      </w:pPr>
    </w:p>
    <w:p w:rsidR="00AE6A27" w:rsidRDefault="00AE6A27" w:rsidP="00AE6A27">
      <w:pPr>
        <w:rPr>
          <w:b/>
          <w:sz w:val="28"/>
          <w:szCs w:val="28"/>
          <w:u w:val="single"/>
        </w:rPr>
      </w:pPr>
    </w:p>
    <w:p w:rsidR="00250644" w:rsidRPr="00457858" w:rsidRDefault="00250644" w:rsidP="00AE6A27">
      <w:pPr>
        <w:rPr>
          <w:b/>
          <w:sz w:val="28"/>
          <w:szCs w:val="28"/>
          <w:u w:val="single"/>
        </w:rPr>
      </w:pPr>
      <w:r>
        <w:rPr>
          <w:b/>
          <w:sz w:val="28"/>
          <w:szCs w:val="28"/>
          <w:u w:val="single"/>
        </w:rPr>
        <w:t xml:space="preserve"> </w:t>
      </w:r>
    </w:p>
    <w:p w:rsidR="00C80363" w:rsidRDefault="002A68EA" w:rsidP="00250644">
      <w:pPr>
        <w:spacing w:after="240"/>
      </w:pPr>
      <w:r>
        <w:t>The following recommendations represent the best</w:t>
      </w:r>
      <w:r w:rsidR="000F74ED">
        <w:t xml:space="preserve"> </w:t>
      </w:r>
      <w:r w:rsidR="00781F86">
        <w:t xml:space="preserve">current </w:t>
      </w:r>
      <w:r w:rsidR="000F74ED">
        <w:t xml:space="preserve">contemporary </w:t>
      </w:r>
      <w:r>
        <w:t>clinical practices for handling medical suction regulators</w:t>
      </w:r>
      <w:r w:rsidR="00C30B1D">
        <w:t xml:space="preserve"> and are considered </w:t>
      </w:r>
      <w:r w:rsidR="00C80363">
        <w:t>the minimum acceptable standard</w:t>
      </w:r>
      <w:r w:rsidR="00C30B1D">
        <w:t>s</w:t>
      </w:r>
      <w:r w:rsidR="00C80363">
        <w:t xml:space="preserve"> </w:t>
      </w:r>
      <w:r w:rsidR="00C30B1D">
        <w:t xml:space="preserve">for handling this class of instruments. </w:t>
      </w:r>
    </w:p>
    <w:p w:rsidR="002A68EA" w:rsidRDefault="002A68EA" w:rsidP="00250644">
      <w:pPr>
        <w:spacing w:after="240"/>
      </w:pPr>
    </w:p>
    <w:tbl>
      <w:tblPr>
        <w:tblStyle w:val="TableGrid"/>
        <w:tblW w:w="8280" w:type="dxa"/>
        <w:tblInd w:w="1008" w:type="dxa"/>
        <w:tblLook w:val="04A0" w:firstRow="1" w:lastRow="0" w:firstColumn="1" w:lastColumn="0" w:noHBand="0" w:noVBand="1"/>
      </w:tblPr>
      <w:tblGrid>
        <w:gridCol w:w="3240"/>
        <w:gridCol w:w="3330"/>
        <w:gridCol w:w="1710"/>
      </w:tblGrid>
      <w:tr w:rsidR="00C80363" w:rsidTr="002E7DD2">
        <w:tc>
          <w:tcPr>
            <w:tcW w:w="3240" w:type="dxa"/>
          </w:tcPr>
          <w:p w:rsidR="00C80363" w:rsidRPr="002E7DD2" w:rsidRDefault="00C80363" w:rsidP="00250644">
            <w:pPr>
              <w:spacing w:after="240"/>
              <w:rPr>
                <w:b/>
                <w:sz w:val="32"/>
                <w:szCs w:val="32"/>
              </w:rPr>
            </w:pPr>
            <w:r w:rsidRPr="002E7DD2">
              <w:rPr>
                <w:b/>
                <w:sz w:val="32"/>
                <w:szCs w:val="32"/>
              </w:rPr>
              <w:t>Event</w:t>
            </w:r>
          </w:p>
        </w:tc>
        <w:tc>
          <w:tcPr>
            <w:tcW w:w="3330" w:type="dxa"/>
          </w:tcPr>
          <w:p w:rsidR="00C80363" w:rsidRPr="002E7DD2" w:rsidRDefault="00C80363" w:rsidP="00250644">
            <w:pPr>
              <w:spacing w:after="240"/>
              <w:rPr>
                <w:b/>
                <w:sz w:val="32"/>
                <w:szCs w:val="32"/>
              </w:rPr>
            </w:pPr>
            <w:r w:rsidRPr="002E7DD2">
              <w:rPr>
                <w:b/>
                <w:sz w:val="32"/>
                <w:szCs w:val="32"/>
              </w:rPr>
              <w:t>Processing Method</w:t>
            </w:r>
          </w:p>
        </w:tc>
        <w:tc>
          <w:tcPr>
            <w:tcW w:w="1710" w:type="dxa"/>
          </w:tcPr>
          <w:p w:rsidR="00C80363" w:rsidRPr="002E7DD2" w:rsidRDefault="00C80363" w:rsidP="00250644">
            <w:pPr>
              <w:spacing w:after="240"/>
              <w:rPr>
                <w:b/>
                <w:sz w:val="32"/>
                <w:szCs w:val="32"/>
              </w:rPr>
            </w:pPr>
            <w:r w:rsidRPr="002E7DD2">
              <w:rPr>
                <w:b/>
                <w:sz w:val="32"/>
                <w:szCs w:val="32"/>
              </w:rPr>
              <w:t>Reference</w:t>
            </w:r>
          </w:p>
        </w:tc>
      </w:tr>
      <w:tr w:rsidR="00C80363" w:rsidTr="002E7DD2">
        <w:tc>
          <w:tcPr>
            <w:tcW w:w="3240" w:type="dxa"/>
          </w:tcPr>
          <w:p w:rsidR="00C80363" w:rsidRPr="002A68EA" w:rsidRDefault="002E7DD2" w:rsidP="00D046F5">
            <w:pPr>
              <w:spacing w:after="240"/>
              <w:ind w:left="342" w:hanging="342"/>
              <w:rPr>
                <w:smallCaps/>
                <w:sz w:val="32"/>
                <w:szCs w:val="32"/>
              </w:rPr>
            </w:pPr>
            <w:r w:rsidRPr="002A68EA">
              <w:rPr>
                <w:smallCaps/>
                <w:sz w:val="32"/>
                <w:szCs w:val="32"/>
              </w:rPr>
              <w:t xml:space="preserve">1. </w:t>
            </w:r>
            <w:r w:rsidR="00D046F5">
              <w:rPr>
                <w:smallCaps/>
                <w:sz w:val="32"/>
                <w:szCs w:val="32"/>
              </w:rPr>
              <w:t>Point of Care Use</w:t>
            </w:r>
          </w:p>
        </w:tc>
        <w:tc>
          <w:tcPr>
            <w:tcW w:w="3330" w:type="dxa"/>
          </w:tcPr>
          <w:p w:rsidR="00C80363" w:rsidRPr="002E7DD2" w:rsidRDefault="00C80363" w:rsidP="002E7DD2">
            <w:pPr>
              <w:spacing w:after="240"/>
              <w:rPr>
                <w:sz w:val="32"/>
                <w:szCs w:val="32"/>
              </w:rPr>
            </w:pPr>
            <w:r w:rsidRPr="002E7DD2">
              <w:rPr>
                <w:sz w:val="32"/>
                <w:szCs w:val="32"/>
              </w:rPr>
              <w:t xml:space="preserve">Point of </w:t>
            </w:r>
            <w:r w:rsidR="002E7DD2">
              <w:rPr>
                <w:sz w:val="32"/>
                <w:szCs w:val="32"/>
              </w:rPr>
              <w:t>C</w:t>
            </w:r>
            <w:r w:rsidRPr="002E7DD2">
              <w:rPr>
                <w:sz w:val="32"/>
                <w:szCs w:val="32"/>
              </w:rPr>
              <w:t xml:space="preserve">are </w:t>
            </w:r>
            <w:r w:rsidR="002E7DD2">
              <w:rPr>
                <w:sz w:val="32"/>
                <w:szCs w:val="32"/>
              </w:rPr>
              <w:t>E</w:t>
            </w:r>
            <w:r w:rsidRPr="002E7DD2">
              <w:rPr>
                <w:sz w:val="32"/>
                <w:szCs w:val="32"/>
              </w:rPr>
              <w:t xml:space="preserve">xternal </w:t>
            </w:r>
            <w:r w:rsidR="00151F7F">
              <w:rPr>
                <w:sz w:val="32"/>
                <w:szCs w:val="32"/>
              </w:rPr>
              <w:t xml:space="preserve">Surface </w:t>
            </w:r>
            <w:r w:rsidR="002E7DD2">
              <w:rPr>
                <w:sz w:val="32"/>
                <w:szCs w:val="32"/>
              </w:rPr>
              <w:t>D</w:t>
            </w:r>
            <w:r w:rsidRPr="002E7DD2">
              <w:rPr>
                <w:sz w:val="32"/>
                <w:szCs w:val="32"/>
              </w:rPr>
              <w:t>isinfection</w:t>
            </w:r>
          </w:p>
        </w:tc>
        <w:tc>
          <w:tcPr>
            <w:tcW w:w="1710" w:type="dxa"/>
          </w:tcPr>
          <w:p w:rsidR="00C80363" w:rsidRPr="002E7DD2" w:rsidRDefault="002E7DD2" w:rsidP="00780DE7">
            <w:pPr>
              <w:spacing w:after="240"/>
              <w:rPr>
                <w:sz w:val="32"/>
                <w:szCs w:val="32"/>
              </w:rPr>
            </w:pPr>
            <w:r w:rsidRPr="002E7DD2">
              <w:rPr>
                <w:sz w:val="32"/>
                <w:szCs w:val="32"/>
              </w:rPr>
              <w:t xml:space="preserve">Page </w:t>
            </w:r>
            <w:r w:rsidR="00780DE7">
              <w:rPr>
                <w:sz w:val="32"/>
                <w:szCs w:val="32"/>
              </w:rPr>
              <w:t>7</w:t>
            </w:r>
          </w:p>
        </w:tc>
      </w:tr>
      <w:tr w:rsidR="00C80363" w:rsidTr="002E7DD2">
        <w:tc>
          <w:tcPr>
            <w:tcW w:w="3240" w:type="dxa"/>
          </w:tcPr>
          <w:p w:rsidR="00C80363" w:rsidRPr="002A68EA" w:rsidRDefault="002E7DD2" w:rsidP="002E7DD2">
            <w:pPr>
              <w:spacing w:after="240"/>
              <w:ind w:left="342" w:hanging="342"/>
              <w:rPr>
                <w:smallCaps/>
                <w:sz w:val="32"/>
                <w:szCs w:val="32"/>
              </w:rPr>
            </w:pPr>
            <w:r w:rsidRPr="002A68EA">
              <w:rPr>
                <w:smallCaps/>
                <w:sz w:val="32"/>
                <w:szCs w:val="32"/>
              </w:rPr>
              <w:t>2. Subsequent to Fluid Intrusion</w:t>
            </w:r>
          </w:p>
        </w:tc>
        <w:tc>
          <w:tcPr>
            <w:tcW w:w="3330" w:type="dxa"/>
          </w:tcPr>
          <w:p w:rsidR="00C80363" w:rsidRPr="002E7DD2" w:rsidRDefault="002E7DD2" w:rsidP="00250644">
            <w:pPr>
              <w:spacing w:after="240"/>
              <w:rPr>
                <w:sz w:val="32"/>
                <w:szCs w:val="32"/>
              </w:rPr>
            </w:pPr>
            <w:r w:rsidRPr="002E7DD2">
              <w:rPr>
                <w:sz w:val="32"/>
                <w:szCs w:val="32"/>
              </w:rPr>
              <w:t>Clean &amp; Sterilize</w:t>
            </w:r>
          </w:p>
        </w:tc>
        <w:tc>
          <w:tcPr>
            <w:tcW w:w="1710" w:type="dxa"/>
          </w:tcPr>
          <w:p w:rsidR="00C80363" w:rsidRPr="002E7DD2" w:rsidRDefault="002E7DD2" w:rsidP="00D046F5">
            <w:pPr>
              <w:spacing w:after="240"/>
              <w:rPr>
                <w:sz w:val="32"/>
                <w:szCs w:val="32"/>
              </w:rPr>
            </w:pPr>
            <w:r w:rsidRPr="002E7DD2">
              <w:rPr>
                <w:sz w:val="32"/>
                <w:szCs w:val="32"/>
              </w:rPr>
              <w:t>Page</w:t>
            </w:r>
            <w:r w:rsidR="00D046F5">
              <w:rPr>
                <w:sz w:val="32"/>
                <w:szCs w:val="32"/>
              </w:rPr>
              <w:t>s</w:t>
            </w:r>
            <w:r w:rsidRPr="002E7DD2">
              <w:rPr>
                <w:sz w:val="32"/>
                <w:szCs w:val="32"/>
              </w:rPr>
              <w:t xml:space="preserve"> </w:t>
            </w:r>
            <w:r w:rsidR="00780DE7">
              <w:rPr>
                <w:sz w:val="32"/>
                <w:szCs w:val="32"/>
              </w:rPr>
              <w:t>8</w:t>
            </w:r>
            <w:r w:rsidR="00D046F5">
              <w:rPr>
                <w:sz w:val="32"/>
                <w:szCs w:val="32"/>
              </w:rPr>
              <w:t>-9</w:t>
            </w:r>
          </w:p>
        </w:tc>
      </w:tr>
      <w:tr w:rsidR="002E7DD2" w:rsidTr="002E7DD2">
        <w:trPr>
          <w:trHeight w:val="908"/>
        </w:trPr>
        <w:tc>
          <w:tcPr>
            <w:tcW w:w="3240" w:type="dxa"/>
          </w:tcPr>
          <w:p w:rsidR="00D046F5" w:rsidRPr="002A68EA" w:rsidRDefault="002E7DD2" w:rsidP="00D046F5">
            <w:pPr>
              <w:spacing w:after="240"/>
              <w:ind w:left="342" w:hanging="342"/>
              <w:rPr>
                <w:smallCaps/>
                <w:sz w:val="32"/>
                <w:szCs w:val="32"/>
              </w:rPr>
            </w:pPr>
            <w:r w:rsidRPr="002A68EA">
              <w:rPr>
                <w:smallCaps/>
                <w:sz w:val="32"/>
                <w:szCs w:val="32"/>
              </w:rPr>
              <w:t>3. Prior to Servic</w:t>
            </w:r>
            <w:r w:rsidR="00D046F5">
              <w:rPr>
                <w:smallCaps/>
                <w:sz w:val="32"/>
                <w:szCs w:val="32"/>
              </w:rPr>
              <w:t>e</w:t>
            </w:r>
            <w:r w:rsidR="00D046F5">
              <w:rPr>
                <w:smallCaps/>
                <w:sz w:val="32"/>
                <w:szCs w:val="32"/>
              </w:rPr>
              <w:br/>
              <w:t>(Repair)</w:t>
            </w:r>
          </w:p>
        </w:tc>
        <w:tc>
          <w:tcPr>
            <w:tcW w:w="3330" w:type="dxa"/>
          </w:tcPr>
          <w:p w:rsidR="002E7DD2" w:rsidRPr="002E7DD2" w:rsidRDefault="002E7DD2" w:rsidP="00250644">
            <w:pPr>
              <w:spacing w:after="240"/>
              <w:rPr>
                <w:sz w:val="32"/>
                <w:szCs w:val="32"/>
              </w:rPr>
            </w:pPr>
            <w:r w:rsidRPr="002E7DD2">
              <w:rPr>
                <w:sz w:val="32"/>
                <w:szCs w:val="32"/>
              </w:rPr>
              <w:t>Clean &amp; Sterilize</w:t>
            </w:r>
          </w:p>
        </w:tc>
        <w:tc>
          <w:tcPr>
            <w:tcW w:w="1710" w:type="dxa"/>
          </w:tcPr>
          <w:p w:rsidR="002E7DD2" w:rsidRPr="002E7DD2" w:rsidRDefault="002E7DD2" w:rsidP="00780DE7">
            <w:pPr>
              <w:spacing w:after="240"/>
              <w:rPr>
                <w:sz w:val="32"/>
                <w:szCs w:val="32"/>
              </w:rPr>
            </w:pPr>
            <w:r w:rsidRPr="002E7DD2">
              <w:rPr>
                <w:sz w:val="32"/>
                <w:szCs w:val="32"/>
              </w:rPr>
              <w:t>Page</w:t>
            </w:r>
            <w:r w:rsidR="00D046F5">
              <w:rPr>
                <w:sz w:val="32"/>
                <w:szCs w:val="32"/>
              </w:rPr>
              <w:t>s</w:t>
            </w:r>
            <w:r w:rsidRPr="002E7DD2">
              <w:rPr>
                <w:sz w:val="32"/>
                <w:szCs w:val="32"/>
              </w:rPr>
              <w:t xml:space="preserve"> </w:t>
            </w:r>
            <w:r w:rsidR="00780DE7">
              <w:rPr>
                <w:sz w:val="32"/>
                <w:szCs w:val="32"/>
              </w:rPr>
              <w:t>8</w:t>
            </w:r>
            <w:r w:rsidR="00D046F5">
              <w:rPr>
                <w:sz w:val="32"/>
                <w:szCs w:val="32"/>
              </w:rPr>
              <w:t>-9</w:t>
            </w:r>
          </w:p>
        </w:tc>
      </w:tr>
    </w:tbl>
    <w:p w:rsidR="00C80363" w:rsidRDefault="00C80363" w:rsidP="00250644">
      <w:pPr>
        <w:spacing w:after="240"/>
      </w:pPr>
    </w:p>
    <w:p w:rsidR="00C80363" w:rsidRPr="002A68EA" w:rsidRDefault="00A26FD7" w:rsidP="00A26FD7">
      <w:pPr>
        <w:spacing w:after="240"/>
        <w:ind w:right="4050"/>
        <w:rPr>
          <w:b/>
          <w:sz w:val="28"/>
          <w:szCs w:val="28"/>
          <w:u w:val="single"/>
        </w:rPr>
      </w:pPr>
      <w:r>
        <w:rPr>
          <w:b/>
          <w:noProof/>
          <w:sz w:val="28"/>
          <w:szCs w:val="28"/>
          <w:u w:val="single"/>
        </w:rPr>
        <w:drawing>
          <wp:anchor distT="0" distB="0" distL="114300" distR="114300" simplePos="0" relativeHeight="251687936" behindDoc="0" locked="0" layoutInCell="1" allowOverlap="1">
            <wp:simplePos x="0" y="0"/>
            <wp:positionH relativeFrom="column">
              <wp:posOffset>5010150</wp:posOffset>
            </wp:positionH>
            <wp:positionV relativeFrom="paragraph">
              <wp:posOffset>348615</wp:posOffset>
            </wp:positionV>
            <wp:extent cx="2085975" cy="3181350"/>
            <wp:effectExtent l="19050" t="0" r="9525" b="0"/>
            <wp:wrapNone/>
            <wp:docPr id="2" name="Picture 1" descr="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JPG"/>
                    <pic:cNvPicPr/>
                  </pic:nvPicPr>
                  <pic:blipFill>
                    <a:blip r:embed="rId10" cstate="print"/>
                    <a:srcRect l="12749"/>
                    <a:stretch>
                      <a:fillRect/>
                    </a:stretch>
                  </pic:blipFill>
                  <pic:spPr>
                    <a:xfrm>
                      <a:off x="0" y="0"/>
                      <a:ext cx="2085975" cy="3181350"/>
                    </a:xfrm>
                    <a:prstGeom prst="rect">
                      <a:avLst/>
                    </a:prstGeom>
                  </pic:spPr>
                </pic:pic>
              </a:graphicData>
            </a:graphic>
          </wp:anchor>
        </w:drawing>
      </w:r>
      <w:r w:rsidR="002E7DD2" w:rsidRPr="002A68EA">
        <w:rPr>
          <w:b/>
          <w:sz w:val="28"/>
          <w:szCs w:val="28"/>
          <w:u w:val="single"/>
        </w:rPr>
        <w:t>Rationale:</w:t>
      </w:r>
    </w:p>
    <w:p w:rsidR="002E7DD2" w:rsidRDefault="002E7DD2" w:rsidP="00A26FD7">
      <w:pPr>
        <w:pStyle w:val="ListParagraph"/>
        <w:numPr>
          <w:ilvl w:val="0"/>
          <w:numId w:val="37"/>
        </w:numPr>
        <w:spacing w:after="240"/>
        <w:ind w:right="4050"/>
      </w:pPr>
      <w:r w:rsidRPr="002A68EA">
        <w:rPr>
          <w:b/>
          <w:smallCaps/>
        </w:rPr>
        <w:t>Room Turnover</w:t>
      </w:r>
      <w:r>
        <w:t xml:space="preserve"> - - The outside of a </w:t>
      </w:r>
      <w:r w:rsidR="00722EEA">
        <w:t xml:space="preserve">suction regulator </w:t>
      </w:r>
      <w:r>
        <w:t>is a high-touch</w:t>
      </w:r>
      <w:r w:rsidR="00151F7F">
        <w:t>,</w:t>
      </w:r>
      <w:r>
        <w:t xml:space="preserve"> non-critical surface and should be treated similarly to the balance of these surfaces in the patient care environment.  </w:t>
      </w:r>
    </w:p>
    <w:p w:rsidR="002A68EA" w:rsidRDefault="002A68EA" w:rsidP="00A26FD7">
      <w:pPr>
        <w:pStyle w:val="ListParagraph"/>
        <w:spacing w:after="240"/>
        <w:ind w:right="4050"/>
      </w:pPr>
    </w:p>
    <w:p w:rsidR="002E7DD2" w:rsidRDefault="003C48AF" w:rsidP="00A26FD7">
      <w:pPr>
        <w:pStyle w:val="ListParagraph"/>
        <w:numPr>
          <w:ilvl w:val="0"/>
          <w:numId w:val="37"/>
        </w:numPr>
        <w:spacing w:after="240"/>
        <w:ind w:right="4050"/>
      </w:pPr>
      <w:r>
        <w:rPr>
          <w:noProof/>
          <w:lang w:eastAsia="zh-TW"/>
        </w:rPr>
        <w:pict>
          <v:shape id="_x0000_s1200" type="#_x0000_t202" style="position:absolute;left:0;text-align:left;margin-left:530.65pt;margin-top:90.1pt;width:26.6pt;height:34.8pt;z-index:251693056;mso-height-percent:200;mso-height-percent:200;mso-width-relative:margin;mso-height-relative:margin" filled="f" stroked="f" strokecolor="white [3212]">
            <v:textbox style="mso-fit-shape-to-text:t">
              <w:txbxContent>
                <w:p w:rsidR="00E33C69" w:rsidRPr="00A26FD7" w:rsidRDefault="00E33C69">
                  <w:pPr>
                    <w:rPr>
                      <w:b/>
                      <w:color w:val="E955D4"/>
                      <w:sz w:val="48"/>
                      <w:szCs w:val="48"/>
                    </w:rPr>
                  </w:pPr>
                  <w:r w:rsidRPr="00A26FD7">
                    <w:rPr>
                      <w:b/>
                      <w:color w:val="E955D4"/>
                      <w:sz w:val="48"/>
                      <w:szCs w:val="48"/>
                    </w:rPr>
                    <w:t>1</w:t>
                  </w:r>
                </w:p>
              </w:txbxContent>
            </v:textbox>
          </v:shape>
        </w:pict>
      </w:r>
      <w:r>
        <w:rPr>
          <w:b/>
          <w:smallCaps/>
          <w:noProof/>
        </w:rPr>
        <w:pict>
          <v:shape id="_x0000_s1201" type="#_x0000_t202" style="position:absolute;left:0;text-align:left;margin-left:490.5pt;margin-top:130.65pt;width:26.6pt;height:34.8pt;z-index:251694080;mso-height-percent:200;mso-height-percent:200;mso-width-relative:margin;mso-height-relative:margin" filled="f" stroked="f" strokecolor="white [3212]">
            <v:textbox style="mso-fit-shape-to-text:t">
              <w:txbxContent>
                <w:p w:rsidR="00E33C69" w:rsidRPr="00A26FD7" w:rsidRDefault="00E33C69" w:rsidP="00A26FD7">
                  <w:pPr>
                    <w:rPr>
                      <w:b/>
                      <w:color w:val="E955D4"/>
                      <w:sz w:val="48"/>
                      <w:szCs w:val="48"/>
                    </w:rPr>
                  </w:pPr>
                  <w:r>
                    <w:rPr>
                      <w:b/>
                      <w:color w:val="E955D4"/>
                      <w:sz w:val="48"/>
                      <w:szCs w:val="48"/>
                    </w:rPr>
                    <w:t>2</w:t>
                  </w:r>
                </w:p>
              </w:txbxContent>
            </v:textbox>
          </v:shape>
        </w:pict>
      </w:r>
      <w:r>
        <w:rPr>
          <w:b/>
          <w:smallCaps/>
          <w:noProof/>
        </w:rPr>
        <w:pict>
          <v:shapetype id="_x0000_t32" coordsize="21600,21600" o:spt="32" o:oned="t" path="m,l21600,21600e" filled="f">
            <v:path arrowok="t" fillok="f" o:connecttype="none"/>
            <o:lock v:ext="edit" shapetype="t"/>
          </v:shapetype>
          <v:shape id="_x0000_s1197" type="#_x0000_t32" style="position:absolute;left:0;text-align:left;margin-left:429.75pt;margin-top:78.1pt;width:60.75pt;height:65.25pt;flip:x y;z-index:251689984" o:connectortype="straight" strokecolor="#e955d4" strokeweight="4pt">
            <v:stroke endarrow="block"/>
          </v:shape>
        </w:pict>
      </w:r>
      <w:r>
        <w:rPr>
          <w:b/>
          <w:smallCaps/>
          <w:noProof/>
        </w:rPr>
        <w:pict>
          <v:shape id="_x0000_s1198" type="#_x0000_t32" style="position:absolute;left:0;text-align:left;margin-left:429.75pt;margin-top:130.65pt;width:60.75pt;height:12.7pt;flip:x y;z-index:251691008" o:connectortype="straight" strokecolor="#e955d4" strokeweight="4pt">
            <v:stroke endarrow="block"/>
          </v:shape>
        </w:pict>
      </w:r>
      <w:r>
        <w:rPr>
          <w:b/>
          <w:smallCaps/>
          <w:noProof/>
        </w:rPr>
        <w:pict>
          <v:shape id="_x0000_s1196" type="#_x0000_t32" style="position:absolute;left:0;text-align:left;margin-left:473.25pt;margin-top:78.1pt;width:63.75pt;height:24pt;flip:x y;z-index:251688960" o:connectortype="straight" strokecolor="#e955d4" strokeweight="4pt">
            <v:stroke endarrow="block"/>
          </v:shape>
        </w:pict>
      </w:r>
      <w:r w:rsidR="002E7DD2" w:rsidRPr="002A68EA">
        <w:rPr>
          <w:b/>
          <w:smallCaps/>
        </w:rPr>
        <w:t>Subsequent to Fluid Intrusion</w:t>
      </w:r>
      <w:r w:rsidR="002E7DD2">
        <w:t xml:space="preserve"> - - </w:t>
      </w:r>
      <w:r w:rsidR="002C7694">
        <w:t>S</w:t>
      </w:r>
      <w:r w:rsidR="002E7DD2">
        <w:t xml:space="preserve">uction collection systems employ a variety of mechanical mechanisms to discourage fluid from entering the suction regulator. </w:t>
      </w:r>
      <w:r w:rsidR="002A68EA">
        <w:t>Failure of any of these means or human error can lead to patient secretions being pulled into the regulator. Risk of patient cross contamination is increased subsequent to fluid intrusion. Fluid intrusion can be readily identified by any debris</w:t>
      </w:r>
      <w:r w:rsidR="00722EEA">
        <w:t xml:space="preserve"> or fluid </w:t>
      </w:r>
      <w:r w:rsidR="002A68EA">
        <w:t>in the gravity trap bottle</w:t>
      </w:r>
      <w:r w:rsidR="0053436A">
        <w:t>(1)</w:t>
      </w:r>
      <w:r w:rsidR="002C7694">
        <w:t xml:space="preserve"> or</w:t>
      </w:r>
      <w:r w:rsidR="002A68EA">
        <w:t xml:space="preserve"> any fluid in the line leading from the collection canister to the regulator</w:t>
      </w:r>
      <w:r w:rsidR="0053436A">
        <w:t>(2)</w:t>
      </w:r>
      <w:r w:rsidR="002A68EA">
        <w:t>, or observed clinical failure of any of these systems.</w:t>
      </w:r>
      <w:r w:rsidR="002C7694">
        <w:t xml:space="preserve"> Clinicians should be advised as to how to identify this occurrence. </w:t>
      </w:r>
    </w:p>
    <w:p w:rsidR="00A26FD7" w:rsidRPr="00A26FD7" w:rsidRDefault="00A26FD7" w:rsidP="00A26FD7">
      <w:pPr>
        <w:pStyle w:val="ListParagraph"/>
        <w:spacing w:after="240"/>
        <w:ind w:right="4050"/>
      </w:pPr>
    </w:p>
    <w:p w:rsidR="002A68EA" w:rsidRDefault="002A68EA" w:rsidP="00A26FD7">
      <w:pPr>
        <w:pStyle w:val="ListParagraph"/>
        <w:numPr>
          <w:ilvl w:val="0"/>
          <w:numId w:val="37"/>
        </w:numPr>
        <w:spacing w:after="240"/>
        <w:ind w:right="4050"/>
      </w:pPr>
      <w:r>
        <w:rPr>
          <w:b/>
          <w:smallCaps/>
        </w:rPr>
        <w:t xml:space="preserve">Prior to Service </w:t>
      </w:r>
      <w:r>
        <w:t>- - The leading cause of regulator failure is inadvertent fluid intrusion. Most hospital service areas lack the appropriate workspace and personal protective equipment to safe</w:t>
      </w:r>
      <w:r w:rsidR="00C30B1D">
        <w:t>l</w:t>
      </w:r>
      <w:r>
        <w:t xml:space="preserve">y handle contaminated instruments. It is recommended these instruments are cleaned and sterilized </w:t>
      </w:r>
      <w:r w:rsidR="009B5719">
        <w:t xml:space="preserve">prior to </w:t>
      </w:r>
      <w:r w:rsidR="00D046F5">
        <w:t>being sent for repair</w:t>
      </w:r>
      <w:r>
        <w:t xml:space="preserve">. </w:t>
      </w:r>
    </w:p>
    <w:p w:rsidR="00C80363" w:rsidRDefault="00C80363" w:rsidP="00250644">
      <w:pPr>
        <w:spacing w:after="240"/>
      </w:pPr>
    </w:p>
    <w:p w:rsidR="00AE6A27" w:rsidRDefault="003C48AF">
      <w:r>
        <w:rPr>
          <w:noProof/>
        </w:rPr>
        <w:pict>
          <v:shape id="_x0000_s1205" type="#_x0000_t202" style="position:absolute;margin-left:-6pt;margin-top:21.75pt;width:486pt;height:45pt;z-index:251697152" stroked="f">
            <v:fill color2="#969696" angle="-90" type="gradient"/>
            <v:textbox style="mso-next-textbox:#_x0000_s1205" inset=",10.8pt">
              <w:txbxContent>
                <w:p w:rsidR="00E33C69" w:rsidRDefault="00E33C69" w:rsidP="00AE6A27">
                  <w:pPr>
                    <w:ind w:left="720" w:hanging="720"/>
                    <w:rPr>
                      <w:rFonts w:ascii="Arial Narrow" w:hAnsi="Arial Narrow" w:cs="Arial"/>
                      <w:b/>
                      <w:sz w:val="48"/>
                    </w:rPr>
                  </w:pPr>
                  <w:r>
                    <w:rPr>
                      <w:rFonts w:cs="Arial"/>
                      <w:b/>
                      <w:i/>
                      <w:iCs/>
                      <w:color w:val="FFFFFF"/>
                      <w:sz w:val="72"/>
                    </w:rPr>
                    <w:tab/>
                  </w:r>
                  <w:r>
                    <w:rPr>
                      <w:rFonts w:ascii="Arial Narrow" w:hAnsi="Arial Narrow" w:cs="Arial"/>
                      <w:b/>
                      <w:sz w:val="48"/>
                    </w:rPr>
                    <w:t>Unit Identification</w:t>
                  </w:r>
                </w:p>
              </w:txbxContent>
            </v:textbox>
          </v:shape>
        </w:pict>
      </w:r>
    </w:p>
    <w:p w:rsidR="00AE6A27" w:rsidRDefault="00AE6A27"/>
    <w:p w:rsidR="00AE6A27" w:rsidRDefault="00AE6A27"/>
    <w:p w:rsidR="00AE6A27" w:rsidRDefault="00AE6A27"/>
    <w:p w:rsidR="004748A0" w:rsidRDefault="004748A0" w:rsidP="00250644">
      <w:pPr>
        <w:spacing w:after="240"/>
      </w:pPr>
    </w:p>
    <w:p w:rsidR="00AE6A27" w:rsidRDefault="00AE6A27" w:rsidP="00AE6A27">
      <w:r w:rsidRPr="00C358C4">
        <w:rPr>
          <w:b/>
        </w:rPr>
        <w:t xml:space="preserve">ONLY BOEHRINGER SUCTION REGULATORS WITH THE “VSS-270” </w:t>
      </w:r>
      <w:r w:rsidR="00C358C4" w:rsidRPr="00C358C4">
        <w:rPr>
          <w:b/>
        </w:rPr>
        <w:t xml:space="preserve">LOGO </w:t>
      </w:r>
      <w:r w:rsidRPr="00C358C4">
        <w:rPr>
          <w:b/>
        </w:rPr>
        <w:t>MAY BE PROCESSED USING THIS MANUAL</w:t>
      </w:r>
      <w:r>
        <w:t xml:space="preserve">. </w:t>
      </w:r>
      <w:r w:rsidR="00C358C4">
        <w:t xml:space="preserve">For all other products, please refer to the specific </w:t>
      </w:r>
      <w:r w:rsidR="00722EEA">
        <w:t>i</w:t>
      </w:r>
      <w:r w:rsidR="00C358C4">
        <w:t xml:space="preserve">nstructions for </w:t>
      </w:r>
      <w:r w:rsidR="00722EEA">
        <w:t>u</w:t>
      </w:r>
      <w:r w:rsidR="00C358C4">
        <w:t xml:space="preserve">se </w:t>
      </w:r>
      <w:r w:rsidR="00780DE7">
        <w:t xml:space="preserve">for that product which is </w:t>
      </w:r>
      <w:r w:rsidR="00C358C4">
        <w:t>available on our website….www.boehringerlabs.com</w:t>
      </w:r>
      <w:r w:rsidR="003C3009">
        <w:t xml:space="preserve"> </w:t>
      </w:r>
    </w:p>
    <w:p w:rsidR="00AE6A27" w:rsidRDefault="00AE6A27" w:rsidP="00AE6A27"/>
    <w:p w:rsidR="00AE6A27" w:rsidRDefault="003C48AF" w:rsidP="00AE6A27">
      <w:r>
        <w:rPr>
          <w:noProof/>
        </w:rPr>
        <w:pict>
          <v:shape id="_x0000_s1208" type="#_x0000_t202" style="position:absolute;margin-left:199.5pt;margin-top:126.35pt;width:108.75pt;height:71.5pt;z-index:251700224;mso-width-relative:margin;mso-height-relative:margin" filled="f" stroked="f" strokecolor="white [3212]">
            <v:textbox>
              <w:txbxContent>
                <w:p w:rsidR="00E33C69" w:rsidRPr="00A26FD7" w:rsidRDefault="00E33C69" w:rsidP="004E48CC">
                  <w:pPr>
                    <w:rPr>
                      <w:b/>
                      <w:color w:val="E955D4"/>
                      <w:sz w:val="48"/>
                      <w:szCs w:val="48"/>
                    </w:rPr>
                  </w:pPr>
                  <w:r>
                    <w:rPr>
                      <w:b/>
                      <w:color w:val="E955D4"/>
                      <w:sz w:val="48"/>
                      <w:szCs w:val="48"/>
                    </w:rPr>
                    <w:t>VSS270 Logo</w:t>
                  </w:r>
                </w:p>
              </w:txbxContent>
            </v:textbox>
          </v:shape>
        </w:pict>
      </w:r>
      <w:r>
        <w:rPr>
          <w:noProof/>
        </w:rPr>
        <w:pict>
          <v:shape id="_x0000_s1206" type="#_x0000_t32" style="position:absolute;margin-left:109.5pt;margin-top:100.65pt;width:81.75pt;height:40.95pt;flip:x y;z-index:251698176" o:connectortype="straight" strokecolor="#e955d4" strokeweight="4pt">
            <v:stroke endarrow="block"/>
          </v:shape>
        </w:pict>
      </w:r>
      <w:r>
        <w:rPr>
          <w:noProof/>
        </w:rPr>
        <w:pict>
          <v:oval id="_x0000_s1207" style="position:absolute;margin-left:61.65pt;margin-top:55.35pt;width:51.6pt;height:57pt;z-index:251699200" filled="f" strokecolor="#e955d4" strokeweight="3.25pt"/>
        </w:pict>
      </w:r>
      <w:r w:rsidR="00AE6A27">
        <w:rPr>
          <w:noProof/>
        </w:rPr>
        <w:drawing>
          <wp:inline distT="0" distB="0" distL="0" distR="0">
            <wp:extent cx="2276475" cy="2586903"/>
            <wp:effectExtent l="19050" t="0" r="9525" b="0"/>
            <wp:docPr id="8" name="Picture 1" descr="H:\Engineering\Kevin Klocek\Marketing Master Images\2012-06\cell salvage fron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gineering\Kevin Klocek\Marketing Master Images\2012-06\cell salvage front blue.jpg"/>
                    <pic:cNvPicPr>
                      <a:picLocks noChangeAspect="1" noChangeArrowheads="1"/>
                    </pic:cNvPicPr>
                  </pic:nvPicPr>
                  <pic:blipFill>
                    <a:blip r:embed="rId11" cstate="print"/>
                    <a:srcRect l="42368" t="44231" r="22895" b="29545"/>
                    <a:stretch>
                      <a:fillRect/>
                    </a:stretch>
                  </pic:blipFill>
                  <pic:spPr bwMode="auto">
                    <a:xfrm>
                      <a:off x="0" y="0"/>
                      <a:ext cx="2276475" cy="2586903"/>
                    </a:xfrm>
                    <a:prstGeom prst="rect">
                      <a:avLst/>
                    </a:prstGeom>
                    <a:noFill/>
                    <a:ln w="9525">
                      <a:noFill/>
                      <a:miter lim="800000"/>
                      <a:headEnd/>
                      <a:tailEnd/>
                    </a:ln>
                    <a:effectLst>
                      <a:softEdge rad="127000"/>
                    </a:effectLst>
                  </pic:spPr>
                </pic:pic>
              </a:graphicData>
            </a:graphic>
          </wp:inline>
        </w:drawing>
      </w:r>
    </w:p>
    <w:p w:rsidR="004E48CC" w:rsidRDefault="004E48CC" w:rsidP="00C358C4">
      <w:pPr>
        <w:jc w:val="center"/>
      </w:pPr>
    </w:p>
    <w:p w:rsidR="004E48CC" w:rsidRPr="00C358C4" w:rsidRDefault="004E48CC" w:rsidP="00C358C4">
      <w:pPr>
        <w:jc w:val="center"/>
        <w:rPr>
          <w:b/>
          <w:smallCaps/>
        </w:rPr>
      </w:pPr>
    </w:p>
    <w:tbl>
      <w:tblPr>
        <w:tblStyle w:val="TableGrid"/>
        <w:tblW w:w="0" w:type="auto"/>
        <w:tblLook w:val="04A0" w:firstRow="1" w:lastRow="0" w:firstColumn="1" w:lastColumn="0" w:noHBand="0" w:noVBand="1"/>
      </w:tblPr>
      <w:tblGrid>
        <w:gridCol w:w="3672"/>
        <w:gridCol w:w="3672"/>
        <w:gridCol w:w="3672"/>
      </w:tblGrid>
      <w:tr w:rsidR="004E48CC" w:rsidRPr="00C358C4" w:rsidTr="004E48CC">
        <w:tc>
          <w:tcPr>
            <w:tcW w:w="3672" w:type="dxa"/>
          </w:tcPr>
          <w:p w:rsidR="00405722" w:rsidRDefault="004E48CC" w:rsidP="00C358C4">
            <w:pPr>
              <w:jc w:val="center"/>
              <w:rPr>
                <w:b/>
                <w:smallCaps/>
              </w:rPr>
            </w:pPr>
            <w:r w:rsidRPr="00C358C4">
              <w:rPr>
                <w:b/>
                <w:smallCaps/>
              </w:rPr>
              <w:t>3800 &amp; 3900 Series</w:t>
            </w:r>
            <w:r w:rsidR="001047B2">
              <w:rPr>
                <w:b/>
                <w:smallCaps/>
              </w:rPr>
              <w:t xml:space="preserve"> </w:t>
            </w:r>
          </w:p>
          <w:p w:rsidR="004E48CC" w:rsidRPr="00C358C4" w:rsidRDefault="00405722" w:rsidP="00C358C4">
            <w:pPr>
              <w:jc w:val="center"/>
              <w:rPr>
                <w:b/>
                <w:smallCaps/>
              </w:rPr>
            </w:pPr>
            <w:r>
              <w:rPr>
                <w:b/>
                <w:smallCaps/>
              </w:rPr>
              <w:t>Regulators</w:t>
            </w:r>
          </w:p>
        </w:tc>
        <w:tc>
          <w:tcPr>
            <w:tcW w:w="3672" w:type="dxa"/>
          </w:tcPr>
          <w:p w:rsidR="00405722" w:rsidRDefault="004E48CC" w:rsidP="00C358C4">
            <w:pPr>
              <w:jc w:val="center"/>
              <w:rPr>
                <w:b/>
                <w:smallCaps/>
              </w:rPr>
            </w:pPr>
            <w:r w:rsidRPr="00C358C4">
              <w:rPr>
                <w:b/>
                <w:smallCaps/>
              </w:rPr>
              <w:t xml:space="preserve">9100 Series </w:t>
            </w:r>
          </w:p>
          <w:p w:rsidR="004E48CC" w:rsidRPr="00C358C4" w:rsidRDefault="004E48CC" w:rsidP="00C358C4">
            <w:pPr>
              <w:jc w:val="center"/>
              <w:rPr>
                <w:b/>
                <w:smallCaps/>
              </w:rPr>
            </w:pPr>
            <w:r w:rsidRPr="00C358C4">
              <w:rPr>
                <w:b/>
                <w:smallCaps/>
              </w:rPr>
              <w:t>Trap Bottles</w:t>
            </w:r>
          </w:p>
        </w:tc>
        <w:tc>
          <w:tcPr>
            <w:tcW w:w="3672" w:type="dxa"/>
          </w:tcPr>
          <w:p w:rsidR="004E48CC" w:rsidRPr="00C358C4" w:rsidRDefault="004E48CC" w:rsidP="00C358C4">
            <w:pPr>
              <w:jc w:val="center"/>
              <w:rPr>
                <w:b/>
                <w:smallCaps/>
              </w:rPr>
            </w:pPr>
            <w:r w:rsidRPr="00C358C4">
              <w:rPr>
                <w:b/>
                <w:smallCaps/>
              </w:rPr>
              <w:t xml:space="preserve">3800 &amp; 3900 Series Regulators with </w:t>
            </w:r>
            <w:r w:rsidR="00C358C4" w:rsidRPr="00C358C4">
              <w:rPr>
                <w:b/>
                <w:smallCaps/>
              </w:rPr>
              <w:t>Integral</w:t>
            </w:r>
            <w:r w:rsidRPr="00C358C4">
              <w:rPr>
                <w:b/>
                <w:smallCaps/>
              </w:rPr>
              <w:t xml:space="preserve"> Trap bottle installed.</w:t>
            </w:r>
          </w:p>
        </w:tc>
      </w:tr>
      <w:tr w:rsidR="004E48CC" w:rsidTr="004E48CC">
        <w:tc>
          <w:tcPr>
            <w:tcW w:w="3672" w:type="dxa"/>
          </w:tcPr>
          <w:p w:rsidR="004E48CC" w:rsidRDefault="00C358C4" w:rsidP="004E48CC">
            <w:pPr>
              <w:jc w:val="center"/>
            </w:pPr>
            <w:r>
              <w:rPr>
                <w:noProof/>
              </w:rPr>
              <w:drawing>
                <wp:inline distT="0" distB="0" distL="0" distR="0">
                  <wp:extent cx="1863725" cy="2795588"/>
                  <wp:effectExtent l="19050" t="0" r="3175" b="0"/>
                  <wp:docPr id="17" name="Picture 6" descr="H:\Engineering\Kevin Klocek\Marketing Master Images\2011-03\blue background\3800 hea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ngineering\Kevin Klocek\Marketing Master Images\2011-03\blue background\3800 headon.jpg"/>
                          <pic:cNvPicPr>
                            <a:picLocks noChangeAspect="1" noChangeArrowheads="1"/>
                          </pic:cNvPicPr>
                        </pic:nvPicPr>
                        <pic:blipFill>
                          <a:blip r:embed="rId12" cstate="print"/>
                          <a:srcRect/>
                          <a:stretch>
                            <a:fillRect/>
                          </a:stretch>
                        </pic:blipFill>
                        <pic:spPr bwMode="auto">
                          <a:xfrm>
                            <a:off x="0" y="0"/>
                            <a:ext cx="1863725" cy="2795588"/>
                          </a:xfrm>
                          <a:prstGeom prst="rect">
                            <a:avLst/>
                          </a:prstGeom>
                          <a:noFill/>
                          <a:ln w="9525">
                            <a:noFill/>
                            <a:miter lim="800000"/>
                            <a:headEnd/>
                            <a:tailEnd/>
                          </a:ln>
                          <a:effectLst>
                            <a:softEdge rad="127000"/>
                          </a:effectLst>
                        </pic:spPr>
                      </pic:pic>
                    </a:graphicData>
                  </a:graphic>
                </wp:inline>
              </w:drawing>
            </w:r>
          </w:p>
        </w:tc>
        <w:tc>
          <w:tcPr>
            <w:tcW w:w="3672" w:type="dxa"/>
          </w:tcPr>
          <w:p w:rsidR="004E48CC" w:rsidRDefault="004E48CC" w:rsidP="004E48CC">
            <w:pPr>
              <w:jc w:val="center"/>
            </w:pPr>
            <w:r>
              <w:rPr>
                <w:noProof/>
              </w:rPr>
              <w:drawing>
                <wp:inline distT="0" distB="0" distL="0" distR="0">
                  <wp:extent cx="1866900" cy="2800350"/>
                  <wp:effectExtent l="19050" t="0" r="0" b="0"/>
                  <wp:docPr id="14" name="Picture 5" descr="H:\Engineering\Kevin Klocek\Marketing Master Images\2011-03\blue background\9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gineering\Kevin Klocek\Marketing Master Images\2011-03\blue background\9100.jpg"/>
                          <pic:cNvPicPr>
                            <a:picLocks noChangeAspect="1" noChangeArrowheads="1"/>
                          </pic:cNvPicPr>
                        </pic:nvPicPr>
                        <pic:blipFill>
                          <a:blip r:embed="rId13" cstate="print"/>
                          <a:srcRect/>
                          <a:stretch>
                            <a:fillRect/>
                          </a:stretch>
                        </pic:blipFill>
                        <pic:spPr bwMode="auto">
                          <a:xfrm>
                            <a:off x="0" y="0"/>
                            <a:ext cx="1866900" cy="2800350"/>
                          </a:xfrm>
                          <a:prstGeom prst="rect">
                            <a:avLst/>
                          </a:prstGeom>
                          <a:noFill/>
                          <a:ln w="9525">
                            <a:noFill/>
                            <a:miter lim="800000"/>
                            <a:headEnd/>
                            <a:tailEnd/>
                          </a:ln>
                          <a:effectLst>
                            <a:softEdge rad="127000"/>
                          </a:effectLst>
                        </pic:spPr>
                      </pic:pic>
                    </a:graphicData>
                  </a:graphic>
                </wp:inline>
              </w:drawing>
            </w:r>
          </w:p>
        </w:tc>
        <w:tc>
          <w:tcPr>
            <w:tcW w:w="3672" w:type="dxa"/>
          </w:tcPr>
          <w:p w:rsidR="004E48CC" w:rsidRDefault="00C358C4" w:rsidP="004E48CC">
            <w:pPr>
              <w:jc w:val="center"/>
            </w:pPr>
            <w:r>
              <w:rPr>
                <w:noProof/>
              </w:rPr>
              <w:drawing>
                <wp:inline distT="0" distB="0" distL="0" distR="0">
                  <wp:extent cx="1914525" cy="2871788"/>
                  <wp:effectExtent l="19050" t="0" r="9525" b="0"/>
                  <wp:docPr id="18" name="Picture 7" descr="H:\Engineering\Kevin Klocek\Marketing Master Images\2011-03\blue background\3804-9100 3-4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ngineering\Kevin Klocek\Marketing Master Images\2011-03\blue background\3804-9100 3-4 view.jpg"/>
                          <pic:cNvPicPr>
                            <a:picLocks noChangeAspect="1" noChangeArrowheads="1"/>
                          </pic:cNvPicPr>
                        </pic:nvPicPr>
                        <pic:blipFill>
                          <a:blip r:embed="rId14" cstate="print"/>
                          <a:srcRect/>
                          <a:stretch>
                            <a:fillRect/>
                          </a:stretch>
                        </pic:blipFill>
                        <pic:spPr bwMode="auto">
                          <a:xfrm>
                            <a:off x="0" y="0"/>
                            <a:ext cx="1917374" cy="2876061"/>
                          </a:xfrm>
                          <a:prstGeom prst="rect">
                            <a:avLst/>
                          </a:prstGeom>
                          <a:noFill/>
                          <a:ln w="9525">
                            <a:noFill/>
                            <a:miter lim="800000"/>
                            <a:headEnd/>
                            <a:tailEnd/>
                          </a:ln>
                          <a:effectLst>
                            <a:softEdge rad="127000"/>
                          </a:effectLst>
                        </pic:spPr>
                      </pic:pic>
                    </a:graphicData>
                  </a:graphic>
                </wp:inline>
              </w:drawing>
            </w:r>
          </w:p>
        </w:tc>
      </w:tr>
    </w:tbl>
    <w:p w:rsidR="004E48CC" w:rsidRDefault="004E48CC" w:rsidP="00AE6A27"/>
    <w:p w:rsidR="00AE6A27" w:rsidRDefault="00AE6A27" w:rsidP="00AE6A27"/>
    <w:p w:rsidR="00AE6A27" w:rsidRDefault="00AE6A27">
      <w:pPr>
        <w:rPr>
          <w:b/>
          <w:sz w:val="28"/>
          <w:szCs w:val="28"/>
          <w:u w:val="single"/>
        </w:rPr>
      </w:pPr>
      <w:r>
        <w:rPr>
          <w:b/>
          <w:sz w:val="28"/>
          <w:szCs w:val="28"/>
          <w:u w:val="single"/>
        </w:rPr>
        <w:br w:type="page"/>
      </w:r>
    </w:p>
    <w:p w:rsidR="000A7801" w:rsidRPr="008C7E20" w:rsidRDefault="003C48AF">
      <w:pPr>
        <w:rPr>
          <w:b/>
          <w:sz w:val="28"/>
          <w:szCs w:val="28"/>
          <w:u w:val="single"/>
        </w:rPr>
      </w:pPr>
      <w:r>
        <w:rPr>
          <w:b/>
          <w:noProof/>
          <w:sz w:val="28"/>
          <w:szCs w:val="28"/>
          <w:u w:val="single"/>
        </w:rPr>
        <w:lastRenderedPageBreak/>
        <w:pict>
          <v:shape id="_x0000_s1184" type="#_x0000_t202" style="position:absolute;margin-left:-18pt;margin-top:3pt;width:486pt;height:45pt;z-index:251676672" stroked="f">
            <v:fill color2="#969696" angle="-90" type="gradient"/>
            <v:textbox style="mso-next-textbox:#_x0000_s1184" inset=",10.8pt">
              <w:txbxContent>
                <w:p w:rsidR="00E33C69" w:rsidRDefault="00E33C69" w:rsidP="000A7801">
                  <w:pPr>
                    <w:ind w:left="720" w:hanging="720"/>
                    <w:rPr>
                      <w:rFonts w:ascii="Arial Narrow" w:hAnsi="Arial Narrow" w:cs="Arial"/>
                      <w:b/>
                      <w:sz w:val="48"/>
                    </w:rPr>
                  </w:pPr>
                  <w:r>
                    <w:rPr>
                      <w:rFonts w:cs="Arial"/>
                      <w:b/>
                      <w:i/>
                      <w:iCs/>
                      <w:color w:val="FFFFFF"/>
                      <w:sz w:val="72"/>
                    </w:rPr>
                    <w:tab/>
                  </w:r>
                  <w:r>
                    <w:rPr>
                      <w:rFonts w:ascii="Arial Narrow" w:hAnsi="Arial Narrow" w:cs="Arial"/>
                      <w:b/>
                      <w:sz w:val="48"/>
                    </w:rPr>
                    <w:t>Introduction</w:t>
                  </w:r>
                </w:p>
              </w:txbxContent>
            </v:textbox>
          </v:shape>
        </w:pict>
      </w:r>
    </w:p>
    <w:p w:rsidR="000A7801" w:rsidRPr="008C7E20" w:rsidRDefault="000A7801">
      <w:pPr>
        <w:rPr>
          <w:b/>
          <w:sz w:val="28"/>
          <w:szCs w:val="28"/>
          <w:u w:val="single"/>
        </w:rPr>
      </w:pPr>
    </w:p>
    <w:p w:rsidR="000A7801" w:rsidRPr="008C7E20" w:rsidRDefault="000A7801">
      <w:pPr>
        <w:rPr>
          <w:b/>
          <w:sz w:val="28"/>
          <w:szCs w:val="28"/>
          <w:u w:val="single"/>
        </w:rPr>
      </w:pPr>
    </w:p>
    <w:p w:rsidR="001A0414" w:rsidRDefault="001A0414"/>
    <w:p w:rsidR="000A7801" w:rsidRPr="008C7E20" w:rsidRDefault="000A7801">
      <w:r w:rsidRPr="008C7E20">
        <w:t xml:space="preserve">These recommendations are for processing Boehringer </w:t>
      </w:r>
      <w:r w:rsidR="0010110F">
        <w:t>3800</w:t>
      </w:r>
      <w:r w:rsidR="009B5719">
        <w:t xml:space="preserve"> &amp;</w:t>
      </w:r>
      <w:r w:rsidR="0010110F">
        <w:t xml:space="preserve"> 3900</w:t>
      </w:r>
      <w:r w:rsidR="009B5719">
        <w:t xml:space="preserve"> series suction regulators as well as </w:t>
      </w:r>
      <w:r w:rsidR="0010110F">
        <w:t>9100</w:t>
      </w:r>
      <w:r w:rsidR="00A2196A">
        <w:t xml:space="preserve"> </w:t>
      </w:r>
      <w:r w:rsidR="009B5719">
        <w:t>series trap bottles.</w:t>
      </w:r>
      <w:r w:rsidRPr="008C7E20">
        <w:t xml:space="preserve"> The</w:t>
      </w:r>
      <w:r w:rsidR="0010110F">
        <w:t xml:space="preserve"> sterilization guidelines in th</w:t>
      </w:r>
      <w:r w:rsidR="00D046F5">
        <w:t xml:space="preserve">is </w:t>
      </w:r>
      <w:r w:rsidR="0010110F">
        <w:t xml:space="preserve">manual have been </w:t>
      </w:r>
      <w:r w:rsidRPr="008C7E20">
        <w:t xml:space="preserve">validated </w:t>
      </w:r>
      <w:r w:rsidR="0010110F">
        <w:t xml:space="preserve">and are </w:t>
      </w:r>
      <w:r w:rsidRPr="008C7E20">
        <w:t>in accordance with:</w:t>
      </w:r>
    </w:p>
    <w:p w:rsidR="00F61A46" w:rsidRPr="008C7E20" w:rsidRDefault="00F61A46" w:rsidP="00F61A46">
      <w:pPr>
        <w:pStyle w:val="ListParagraph"/>
      </w:pPr>
    </w:p>
    <w:p w:rsidR="000A7801" w:rsidRPr="008C7E20" w:rsidRDefault="000A7801" w:rsidP="000A7801">
      <w:pPr>
        <w:pStyle w:val="ListParagraph"/>
        <w:numPr>
          <w:ilvl w:val="0"/>
          <w:numId w:val="27"/>
        </w:numPr>
      </w:pPr>
      <w:r w:rsidRPr="008C7E20">
        <w:t>ANSI/AAMI ST81:2004</w:t>
      </w:r>
      <w:r w:rsidR="00722EEA">
        <w:t>/(R) 2010</w:t>
      </w:r>
      <w:r w:rsidRPr="008C7E20">
        <w:t xml:space="preserve"> –</w:t>
      </w:r>
      <w:r w:rsidR="00F61A46" w:rsidRPr="008C7E20">
        <w:t xml:space="preserve"> Sterilization of medical devices-Information to be provided by the manufacturer for the processing of resterilizable medical devices.</w:t>
      </w:r>
    </w:p>
    <w:p w:rsidR="000A7801" w:rsidRPr="008C7E20" w:rsidRDefault="000A7801" w:rsidP="000A7801">
      <w:pPr>
        <w:pStyle w:val="ListParagraph"/>
        <w:numPr>
          <w:ilvl w:val="0"/>
          <w:numId w:val="27"/>
        </w:numPr>
      </w:pPr>
      <w:r w:rsidRPr="008C7E20">
        <w:t>AAMI TIR 12:20</w:t>
      </w:r>
      <w:r w:rsidR="00722EEA">
        <w:t>10</w:t>
      </w:r>
      <w:r w:rsidRPr="008C7E20">
        <w:t xml:space="preserve"> –</w:t>
      </w:r>
      <w:r w:rsidR="00F61A46" w:rsidRPr="008C7E20">
        <w:t xml:space="preserve"> Designing, testing, and labeling reusable medical devices for reprocessing in health care facilities.  A guide for device manufacturers 1</w:t>
      </w:r>
      <w:r w:rsidR="00F61A46" w:rsidRPr="008C7E20">
        <w:rPr>
          <w:vertAlign w:val="superscript"/>
        </w:rPr>
        <w:t>st</w:t>
      </w:r>
      <w:r w:rsidR="00F61A46" w:rsidRPr="008C7E20">
        <w:t xml:space="preserve"> ed.</w:t>
      </w:r>
    </w:p>
    <w:p w:rsidR="000A7801" w:rsidRPr="008C7E20" w:rsidRDefault="000A7801" w:rsidP="000A7801">
      <w:pPr>
        <w:pStyle w:val="ListParagraph"/>
        <w:numPr>
          <w:ilvl w:val="0"/>
          <w:numId w:val="27"/>
        </w:numPr>
      </w:pPr>
      <w:r w:rsidRPr="008C7E20">
        <w:t>AAMI ST77:2006</w:t>
      </w:r>
      <w:r w:rsidR="00722EEA">
        <w:t xml:space="preserve">/(R) 2010 </w:t>
      </w:r>
      <w:r w:rsidRPr="008C7E20">
        <w:t xml:space="preserve"> –</w:t>
      </w:r>
      <w:r w:rsidR="00F61A46" w:rsidRPr="008C7E20">
        <w:t xml:space="preserve"> Containment devices for reusable medical device sterilization.</w:t>
      </w:r>
    </w:p>
    <w:p w:rsidR="000A7801" w:rsidRPr="008C7E20" w:rsidRDefault="000A7801" w:rsidP="000A7801">
      <w:pPr>
        <w:pStyle w:val="ListParagraph"/>
        <w:numPr>
          <w:ilvl w:val="0"/>
          <w:numId w:val="27"/>
        </w:numPr>
      </w:pPr>
      <w:r w:rsidRPr="008C7E20">
        <w:t>ISO 14937:200</w:t>
      </w:r>
      <w:r w:rsidR="00722EEA">
        <w:t>9</w:t>
      </w:r>
      <w:r w:rsidRPr="008C7E20">
        <w:t xml:space="preserve"> –</w:t>
      </w:r>
      <w:r w:rsidR="00F61A46" w:rsidRPr="008C7E20">
        <w:t xml:space="preserve"> Sterilization of health care products – General requirements for characterization of a sterilizing agent and the development, validation and routine control of a sterilization product.</w:t>
      </w:r>
    </w:p>
    <w:p w:rsidR="000A7801" w:rsidRPr="008C7E20" w:rsidRDefault="003C48AF">
      <w:r>
        <w:rPr>
          <w:noProof/>
        </w:rPr>
        <w:pict>
          <v:shape id="_x0000_s1185" type="#_x0000_t202" style="position:absolute;margin-left:-18pt;margin-top:6.7pt;width:486pt;height:45pt;z-index:251677696" stroked="f">
            <v:fill color2="#969696" angle="-90" type="gradient"/>
            <v:textbox style="mso-next-textbox:#_x0000_s1185" inset=",10.8pt">
              <w:txbxContent>
                <w:p w:rsidR="00E33C69" w:rsidRDefault="00E33C69" w:rsidP="009C4020">
                  <w:pPr>
                    <w:ind w:left="720" w:hanging="720"/>
                    <w:rPr>
                      <w:rFonts w:ascii="Arial Narrow" w:hAnsi="Arial Narrow" w:cs="Arial"/>
                      <w:b/>
                      <w:sz w:val="48"/>
                    </w:rPr>
                  </w:pPr>
                  <w:r>
                    <w:rPr>
                      <w:rFonts w:cs="Arial"/>
                      <w:b/>
                      <w:i/>
                      <w:iCs/>
                      <w:color w:val="FFFFFF"/>
                      <w:sz w:val="72"/>
                    </w:rPr>
                    <w:tab/>
                  </w:r>
                </w:p>
              </w:txbxContent>
            </v:textbox>
          </v:shape>
        </w:pict>
      </w:r>
    </w:p>
    <w:p w:rsidR="009C4020" w:rsidRPr="008C7E20" w:rsidRDefault="009C4020"/>
    <w:p w:rsidR="009C4020" w:rsidRPr="008C7E20" w:rsidRDefault="009C4020"/>
    <w:p w:rsidR="009C4020" w:rsidRDefault="009C4020"/>
    <w:p w:rsidR="009C4020" w:rsidRPr="008C7E20" w:rsidRDefault="003C48AF">
      <w:r>
        <w:rPr>
          <w:noProof/>
          <w:sz w:val="20"/>
        </w:rPr>
        <w:pict>
          <v:shape id="_x0000_s1188" type="#_x0000_t202" style="position:absolute;margin-left:-10.95pt;margin-top:1.35pt;width:67.35pt;height:27pt;z-index:251681792" fillcolor="black">
            <v:textbox>
              <w:txbxContent>
                <w:p w:rsidR="00E33C69" w:rsidRDefault="00E33C69" w:rsidP="008C7E20">
                  <w:pPr>
                    <w:jc w:val="both"/>
                    <w:rPr>
                      <w:rFonts w:ascii="Arial Narrow" w:hAnsi="Arial Narrow"/>
                      <w:b/>
                      <w:bCs/>
                      <w:caps/>
                      <w:color w:val="FFFFFF"/>
                      <w:sz w:val="28"/>
                    </w:rPr>
                  </w:pPr>
                  <w:r>
                    <w:rPr>
                      <w:rFonts w:ascii="Arial Narrow" w:hAnsi="Arial Narrow"/>
                      <w:b/>
                      <w:bCs/>
                      <w:caps/>
                      <w:color w:val="FFFFFF"/>
                      <w:sz w:val="28"/>
                    </w:rPr>
                    <w:t>models</w:t>
                  </w:r>
                </w:p>
                <w:p w:rsidR="00E33C69" w:rsidRDefault="00E33C69" w:rsidP="008C7E20">
                  <w:pPr>
                    <w:rPr>
                      <w:rFonts w:ascii="Arial Narrow" w:hAnsi="Arial Narrow"/>
                      <w:b/>
                      <w:bCs/>
                      <w:color w:val="FFFFFF"/>
                      <w:sz w:val="28"/>
                    </w:rPr>
                  </w:pPr>
                </w:p>
                <w:p w:rsidR="00E33C69" w:rsidRDefault="00E33C69" w:rsidP="008C7E20">
                  <w:pPr>
                    <w:rPr>
                      <w:rFonts w:ascii="Arial Narrow" w:hAnsi="Arial Narrow"/>
                      <w:b/>
                      <w:bCs/>
                      <w:color w:val="FFFFFF"/>
                      <w:sz w:val="28"/>
                    </w:rPr>
                  </w:pPr>
                </w:p>
              </w:txbxContent>
            </v:textbox>
          </v:shape>
        </w:pict>
      </w:r>
    </w:p>
    <w:p w:rsidR="008C7E20" w:rsidRPr="008C7E20" w:rsidRDefault="008C7E20" w:rsidP="009C4020">
      <w:pPr>
        <w:ind w:firstLine="720"/>
        <w:rPr>
          <w:sz w:val="20"/>
        </w:rPr>
      </w:pPr>
    </w:p>
    <w:p w:rsidR="008C7E20" w:rsidRPr="008C7E20" w:rsidRDefault="008C7E20" w:rsidP="009C4020">
      <w:pPr>
        <w:ind w:firstLine="720"/>
        <w:rPr>
          <w:sz w:val="20"/>
        </w:rPr>
      </w:pPr>
    </w:p>
    <w:p w:rsidR="009C4020" w:rsidRPr="008C7E20" w:rsidRDefault="009C4020" w:rsidP="009C4020">
      <w:pPr>
        <w:ind w:firstLine="720"/>
      </w:pPr>
      <w:r w:rsidRPr="008C7E20">
        <w:t>This document contains recommended instructions for the safe care, handling and processing of the 3800</w:t>
      </w:r>
      <w:r w:rsidR="004748A0">
        <w:t xml:space="preserve"> &amp; 3900</w:t>
      </w:r>
      <w:r w:rsidRPr="008C7E20">
        <w:t xml:space="preserve"> series of Boehringer </w:t>
      </w:r>
      <w:r w:rsidR="00D046F5">
        <w:t>s</w:t>
      </w:r>
      <w:r w:rsidR="00A2196A">
        <w:t xml:space="preserve">uction </w:t>
      </w:r>
      <w:r w:rsidR="00D046F5">
        <w:t>r</w:t>
      </w:r>
      <w:r w:rsidR="00A2196A">
        <w:t xml:space="preserve">egulators, produced </w:t>
      </w:r>
      <w:r w:rsidR="004748A0">
        <w:t>after December 31, 2010</w:t>
      </w:r>
      <w:r w:rsidRPr="008C7E20">
        <w:t xml:space="preserve">. </w:t>
      </w:r>
      <w:r w:rsidR="00C80363">
        <w:t xml:space="preserve">This manual also applies to all Model 9100 Fluid Trap Bottles sold after March 2012. </w:t>
      </w:r>
      <w:r w:rsidR="004748A0">
        <w:t xml:space="preserve">To identify the lot number of your instrument, please refer to the complete product instructions for use. </w:t>
      </w:r>
      <w:r w:rsidRPr="008C7E20">
        <w:t xml:space="preserve">This </w:t>
      </w:r>
      <w:r w:rsidR="00722EEA">
        <w:t>p</w:t>
      </w:r>
      <w:r w:rsidR="004748A0">
        <w:t xml:space="preserve">rocessing </w:t>
      </w:r>
      <w:r w:rsidR="00722EEA">
        <w:t>g</w:t>
      </w:r>
      <w:r w:rsidR="004748A0">
        <w:t xml:space="preserve">uide </w:t>
      </w:r>
      <w:r w:rsidRPr="008C7E20">
        <w:t>is an addendum to, and not a replacement for the complete instructions fo</w:t>
      </w:r>
      <w:r w:rsidR="00A2196A">
        <w:t>r use for your suction regulator</w:t>
      </w:r>
      <w:r w:rsidRPr="008C7E20">
        <w:t>. Please refer</w:t>
      </w:r>
      <w:r w:rsidR="00722EEA">
        <w:t xml:space="preserve"> to</w:t>
      </w:r>
      <w:r w:rsidRPr="008C7E20">
        <w:t xml:space="preserve"> www.boehringerlabs.com </w:t>
      </w:r>
      <w:r w:rsidR="001A0414">
        <w:t xml:space="preserve">or call 1-800-642-4945 </w:t>
      </w:r>
      <w:r w:rsidR="009B5719">
        <w:t>to obtain the complete instructions for use for your regulator.</w:t>
      </w:r>
    </w:p>
    <w:p w:rsidR="009C4020" w:rsidRPr="008C7E20" w:rsidRDefault="003C48AF" w:rsidP="009C4020">
      <w:pPr>
        <w:pStyle w:val="Footer"/>
        <w:tabs>
          <w:tab w:val="clear" w:pos="4320"/>
          <w:tab w:val="clear" w:pos="8640"/>
        </w:tabs>
        <w:rPr>
          <w:rFonts w:ascii="Times New Roman" w:hAnsi="Times New Roman"/>
          <w:szCs w:val="24"/>
        </w:rPr>
      </w:pPr>
      <w:r>
        <w:rPr>
          <w:rFonts w:ascii="Times New Roman" w:hAnsi="Times New Roman"/>
          <w:szCs w:val="24"/>
        </w:rPr>
        <w:pict>
          <v:shape id="_x0000_s1186" type="#_x0000_t202" style="position:absolute;margin-left:-10.95pt;margin-top:.45pt;width:77.85pt;height:27pt;z-index:251679744" fillcolor="black">
            <v:textbox style="mso-next-textbox:#_x0000_s1186">
              <w:txbxContent>
                <w:p w:rsidR="00E33C69" w:rsidRDefault="00E33C69" w:rsidP="009C4020">
                  <w:pPr>
                    <w:jc w:val="both"/>
                    <w:rPr>
                      <w:rFonts w:ascii="Arial Narrow" w:hAnsi="Arial Narrow"/>
                      <w:b/>
                      <w:bCs/>
                      <w:caps/>
                      <w:color w:val="FFFFFF"/>
                      <w:sz w:val="28"/>
                    </w:rPr>
                  </w:pPr>
                  <w:r>
                    <w:rPr>
                      <w:rFonts w:ascii="Arial Narrow" w:hAnsi="Arial Narrow"/>
                      <w:b/>
                      <w:bCs/>
                      <w:caps/>
                      <w:color w:val="FFFFFF"/>
                      <w:sz w:val="28"/>
                    </w:rPr>
                    <w:t>Cleaning</w:t>
                  </w:r>
                </w:p>
                <w:p w:rsidR="00E33C69" w:rsidRDefault="00E33C69" w:rsidP="009C4020">
                  <w:pPr>
                    <w:rPr>
                      <w:rFonts w:ascii="Arial Narrow" w:hAnsi="Arial Narrow"/>
                      <w:b/>
                      <w:bCs/>
                      <w:color w:val="FFFFFF"/>
                      <w:sz w:val="28"/>
                    </w:rPr>
                  </w:pPr>
                </w:p>
                <w:p w:rsidR="00E33C69" w:rsidRDefault="00E33C69" w:rsidP="009C4020">
                  <w:pPr>
                    <w:rPr>
                      <w:rFonts w:ascii="Arial Narrow" w:hAnsi="Arial Narrow"/>
                      <w:b/>
                      <w:bCs/>
                      <w:color w:val="FFFFFF"/>
                      <w:sz w:val="28"/>
                    </w:rPr>
                  </w:pPr>
                </w:p>
              </w:txbxContent>
            </v:textbox>
          </v:shape>
        </w:pict>
      </w:r>
    </w:p>
    <w:p w:rsidR="009C4020" w:rsidRPr="008C7E20" w:rsidRDefault="009C4020" w:rsidP="009C4020">
      <w:pPr>
        <w:pStyle w:val="Footer"/>
        <w:tabs>
          <w:tab w:val="clear" w:pos="4320"/>
          <w:tab w:val="clear" w:pos="8640"/>
        </w:tabs>
        <w:rPr>
          <w:rFonts w:ascii="Times New Roman" w:hAnsi="Times New Roman"/>
          <w:szCs w:val="24"/>
        </w:rPr>
      </w:pPr>
    </w:p>
    <w:p w:rsidR="009C4020" w:rsidRPr="008C7E20" w:rsidRDefault="009C4020" w:rsidP="008C7E20">
      <w:pPr>
        <w:ind w:firstLine="720"/>
      </w:pPr>
      <w:r w:rsidRPr="008C7E20">
        <w:t>The cleaning protocols described herein are i</w:t>
      </w:r>
      <w:r w:rsidR="00A2196A">
        <w:t xml:space="preserve">ntended to be used on </w:t>
      </w:r>
      <w:r w:rsidR="00BF63EB">
        <w:t>s</w:t>
      </w:r>
      <w:r w:rsidR="00A2196A">
        <w:t xml:space="preserve">uction </w:t>
      </w:r>
      <w:r w:rsidR="00BF63EB">
        <w:t>r</w:t>
      </w:r>
      <w:r w:rsidR="00A2196A">
        <w:t>egulators</w:t>
      </w:r>
      <w:r w:rsidRPr="008C7E20">
        <w:t xml:space="preserve"> that have been grossly contaminated</w:t>
      </w:r>
      <w:r w:rsidR="00722EEA">
        <w:t xml:space="preserve"> (presence of debris or fluid</w:t>
      </w:r>
      <w:r w:rsidR="00C91537">
        <w:t xml:space="preserve"> intrusion</w:t>
      </w:r>
      <w:r w:rsidR="00722EEA">
        <w:t>)</w:t>
      </w:r>
      <w:r w:rsidRPr="008C7E20">
        <w:t xml:space="preserve">. Devices that show </w:t>
      </w:r>
      <w:r w:rsidRPr="00C91537">
        <w:rPr>
          <w:u w:val="single"/>
        </w:rPr>
        <w:t>no</w:t>
      </w:r>
      <w:r w:rsidRPr="008C7E20">
        <w:t xml:space="preserve"> signs of </w:t>
      </w:r>
      <w:r w:rsidR="00722EEA">
        <w:t xml:space="preserve">debris or </w:t>
      </w:r>
      <w:r w:rsidRPr="008C7E20">
        <w:t xml:space="preserve">fluid intrusion may  have sufficiently low bio-burden such that they may only require processing through </w:t>
      </w:r>
      <w:r w:rsidR="00C358C4">
        <w:t xml:space="preserve">external </w:t>
      </w:r>
      <w:r w:rsidR="00722EEA">
        <w:t>cleaning/</w:t>
      </w:r>
      <w:r w:rsidR="00C358C4">
        <w:t>disinfection</w:t>
      </w:r>
      <w:r w:rsidRPr="008C7E20">
        <w:t>. It is the responsibility of the hospital to determine whether or not decontamination is required</w:t>
      </w:r>
      <w:r w:rsidRPr="008C7E20">
        <w:rPr>
          <w:rStyle w:val="FootnoteReference"/>
        </w:rPr>
        <w:footnoteReference w:id="1"/>
      </w:r>
      <w:r w:rsidRPr="008C7E20">
        <w:t xml:space="preserve">.  </w:t>
      </w:r>
    </w:p>
    <w:p w:rsidR="009C4020" w:rsidRPr="008C7E20" w:rsidRDefault="003C48AF" w:rsidP="009C4020">
      <w:pPr>
        <w:pStyle w:val="Footer"/>
        <w:tabs>
          <w:tab w:val="clear" w:pos="4320"/>
          <w:tab w:val="clear" w:pos="8640"/>
        </w:tabs>
        <w:rPr>
          <w:rFonts w:ascii="Times New Roman" w:hAnsi="Times New Roman"/>
          <w:szCs w:val="24"/>
        </w:rPr>
      </w:pPr>
      <w:r>
        <w:rPr>
          <w:rFonts w:ascii="Times New Roman" w:hAnsi="Times New Roman"/>
          <w:szCs w:val="24"/>
        </w:rPr>
        <w:pict>
          <v:shape id="_x0000_s1187" type="#_x0000_t202" style="position:absolute;margin-left:-10.95pt;margin-top:9.5pt;width:92.95pt;height:27pt;z-index:251680768" fillcolor="black">
            <v:textbox>
              <w:txbxContent>
                <w:p w:rsidR="00E33C69" w:rsidRDefault="00E33C69" w:rsidP="009C4020">
                  <w:pPr>
                    <w:jc w:val="both"/>
                    <w:rPr>
                      <w:rFonts w:ascii="Arial Narrow" w:hAnsi="Arial Narrow"/>
                      <w:b/>
                      <w:bCs/>
                      <w:caps/>
                      <w:color w:val="FFFFFF"/>
                      <w:sz w:val="28"/>
                    </w:rPr>
                  </w:pPr>
                  <w:r>
                    <w:rPr>
                      <w:rFonts w:ascii="Arial Narrow" w:hAnsi="Arial Narrow"/>
                      <w:b/>
                      <w:bCs/>
                      <w:caps/>
                      <w:color w:val="FFFFFF"/>
                      <w:sz w:val="28"/>
                    </w:rPr>
                    <w:t>Processing</w:t>
                  </w:r>
                </w:p>
                <w:p w:rsidR="00E33C69" w:rsidRDefault="00E33C69" w:rsidP="009C4020">
                  <w:pPr>
                    <w:rPr>
                      <w:rFonts w:ascii="Arial Narrow" w:hAnsi="Arial Narrow"/>
                      <w:b/>
                      <w:bCs/>
                      <w:color w:val="FFFFFF"/>
                      <w:sz w:val="28"/>
                    </w:rPr>
                  </w:pPr>
                </w:p>
                <w:p w:rsidR="00E33C69" w:rsidRDefault="00E33C69" w:rsidP="009C4020">
                  <w:pPr>
                    <w:rPr>
                      <w:rFonts w:ascii="Arial Narrow" w:hAnsi="Arial Narrow"/>
                      <w:b/>
                      <w:bCs/>
                      <w:color w:val="FFFFFF"/>
                      <w:sz w:val="28"/>
                    </w:rPr>
                  </w:pPr>
                </w:p>
              </w:txbxContent>
            </v:textbox>
          </v:shape>
        </w:pict>
      </w:r>
    </w:p>
    <w:p w:rsidR="009C4020" w:rsidRPr="008C7E20" w:rsidRDefault="009C4020" w:rsidP="009C4020">
      <w:pPr>
        <w:pStyle w:val="Footer"/>
        <w:tabs>
          <w:tab w:val="clear" w:pos="4320"/>
          <w:tab w:val="clear" w:pos="8640"/>
        </w:tabs>
        <w:rPr>
          <w:rFonts w:ascii="Times New Roman" w:hAnsi="Times New Roman"/>
          <w:szCs w:val="24"/>
        </w:rPr>
      </w:pPr>
    </w:p>
    <w:p w:rsidR="009C4020" w:rsidRPr="008C7E20" w:rsidRDefault="009C4020" w:rsidP="009C4020">
      <w:pPr>
        <w:pStyle w:val="Footer"/>
        <w:tabs>
          <w:tab w:val="clear" w:pos="4320"/>
          <w:tab w:val="clear" w:pos="8640"/>
        </w:tabs>
        <w:rPr>
          <w:rFonts w:ascii="Times New Roman" w:hAnsi="Times New Roman"/>
          <w:szCs w:val="24"/>
        </w:rPr>
      </w:pPr>
    </w:p>
    <w:p w:rsidR="009C4020" w:rsidRDefault="009C4020" w:rsidP="008C7E20">
      <w:pPr>
        <w:pStyle w:val="Footer"/>
        <w:tabs>
          <w:tab w:val="clear" w:pos="4320"/>
          <w:tab w:val="clear" w:pos="8640"/>
        </w:tabs>
        <w:rPr>
          <w:rFonts w:ascii="Times New Roman" w:hAnsi="Times New Roman"/>
          <w:szCs w:val="24"/>
        </w:rPr>
      </w:pPr>
      <w:r w:rsidRPr="008C7E20">
        <w:rPr>
          <w:rFonts w:ascii="Times New Roman" w:hAnsi="Times New Roman"/>
          <w:szCs w:val="24"/>
        </w:rPr>
        <w:tab/>
      </w:r>
      <w:r w:rsidR="00722EEA">
        <w:rPr>
          <w:rFonts w:ascii="Times New Roman" w:hAnsi="Times New Roman"/>
          <w:szCs w:val="24"/>
        </w:rPr>
        <w:t xml:space="preserve">The instructions contained herein describe methods by which Boehringer suction regulators </w:t>
      </w:r>
      <w:r w:rsidR="00E72361">
        <w:rPr>
          <w:rFonts w:ascii="Times New Roman" w:hAnsi="Times New Roman"/>
          <w:szCs w:val="24"/>
        </w:rPr>
        <w:t>can</w:t>
      </w:r>
      <w:r w:rsidR="00722EEA">
        <w:rPr>
          <w:rFonts w:ascii="Times New Roman" w:hAnsi="Times New Roman"/>
          <w:szCs w:val="24"/>
        </w:rPr>
        <w:t xml:space="preserve"> be processed to ensure patient and staff safety. Processing is defined as the act of rendering the device safe for patient use or staff handling </w:t>
      </w:r>
      <w:r w:rsidR="00C91537">
        <w:rPr>
          <w:rFonts w:ascii="Times New Roman" w:hAnsi="Times New Roman"/>
          <w:szCs w:val="24"/>
        </w:rPr>
        <w:t xml:space="preserve">by </w:t>
      </w:r>
      <w:r w:rsidR="00722EEA">
        <w:rPr>
          <w:rFonts w:ascii="Times New Roman" w:hAnsi="Times New Roman"/>
          <w:szCs w:val="24"/>
        </w:rPr>
        <w:t xml:space="preserve">either external disinfection of the device or sterilization. It is the responsibility of the hospital to ensure that any devices subjected to these guidelines have been appropriately processed. </w:t>
      </w:r>
      <w:r w:rsidRPr="008C7E20">
        <w:rPr>
          <w:rFonts w:ascii="Times New Roman" w:hAnsi="Times New Roman"/>
          <w:szCs w:val="24"/>
        </w:rPr>
        <w:t xml:space="preserve"> </w:t>
      </w:r>
    </w:p>
    <w:p w:rsidR="004276E4" w:rsidRDefault="003C48AF" w:rsidP="008C7E20">
      <w:pPr>
        <w:pStyle w:val="Footer"/>
        <w:tabs>
          <w:tab w:val="clear" w:pos="4320"/>
          <w:tab w:val="clear" w:pos="8640"/>
        </w:tabs>
        <w:rPr>
          <w:rFonts w:ascii="Times New Roman" w:hAnsi="Times New Roman"/>
          <w:szCs w:val="24"/>
        </w:rPr>
      </w:pPr>
      <w:r>
        <w:rPr>
          <w:rFonts w:ascii="Times New Roman" w:hAnsi="Times New Roman"/>
          <w:noProof/>
          <w:szCs w:val="24"/>
        </w:rPr>
        <w:pict>
          <v:shape id="_x0000_s1214" type="#_x0000_t202" style="position:absolute;margin-left:-10.95pt;margin-top:8.15pt;width:104.7pt;height:27pt;z-index:251705344" fillcolor="black">
            <v:textbox>
              <w:txbxContent>
                <w:p w:rsidR="00E33C69" w:rsidRDefault="00E33C69" w:rsidP="004276E4">
                  <w:pPr>
                    <w:jc w:val="both"/>
                    <w:rPr>
                      <w:rFonts w:ascii="Arial Narrow" w:hAnsi="Arial Narrow"/>
                      <w:b/>
                      <w:bCs/>
                      <w:caps/>
                      <w:color w:val="FFFFFF"/>
                      <w:sz w:val="28"/>
                    </w:rPr>
                  </w:pPr>
                  <w:r>
                    <w:rPr>
                      <w:rFonts w:ascii="Arial Narrow" w:hAnsi="Arial Narrow"/>
                      <w:b/>
                      <w:bCs/>
                      <w:caps/>
                      <w:color w:val="FFFFFF"/>
                      <w:sz w:val="28"/>
                    </w:rPr>
                    <w:t>Rerocessing</w:t>
                  </w:r>
                </w:p>
                <w:p w:rsidR="00E33C69" w:rsidRDefault="00E33C69" w:rsidP="004276E4">
                  <w:pPr>
                    <w:rPr>
                      <w:rFonts w:ascii="Arial Narrow" w:hAnsi="Arial Narrow"/>
                      <w:b/>
                      <w:bCs/>
                      <w:color w:val="FFFFFF"/>
                      <w:sz w:val="28"/>
                    </w:rPr>
                  </w:pPr>
                </w:p>
                <w:p w:rsidR="00E33C69" w:rsidRDefault="00E33C69" w:rsidP="004276E4">
                  <w:pPr>
                    <w:rPr>
                      <w:rFonts w:ascii="Arial Narrow" w:hAnsi="Arial Narrow"/>
                      <w:b/>
                      <w:bCs/>
                      <w:color w:val="FFFFFF"/>
                      <w:sz w:val="28"/>
                    </w:rPr>
                  </w:pPr>
                </w:p>
              </w:txbxContent>
            </v:textbox>
          </v:shape>
        </w:pict>
      </w:r>
    </w:p>
    <w:p w:rsidR="004276E4" w:rsidRDefault="004276E4" w:rsidP="008C7E20">
      <w:pPr>
        <w:pStyle w:val="Footer"/>
        <w:tabs>
          <w:tab w:val="clear" w:pos="4320"/>
          <w:tab w:val="clear" w:pos="8640"/>
        </w:tabs>
        <w:rPr>
          <w:rFonts w:ascii="Times New Roman" w:hAnsi="Times New Roman"/>
          <w:szCs w:val="24"/>
        </w:rPr>
      </w:pPr>
    </w:p>
    <w:p w:rsidR="004276E4" w:rsidRDefault="004276E4" w:rsidP="008C7E20">
      <w:pPr>
        <w:pStyle w:val="Footer"/>
        <w:tabs>
          <w:tab w:val="clear" w:pos="4320"/>
          <w:tab w:val="clear" w:pos="8640"/>
        </w:tabs>
        <w:rPr>
          <w:rFonts w:ascii="Times New Roman" w:hAnsi="Times New Roman"/>
          <w:szCs w:val="24"/>
        </w:rPr>
      </w:pPr>
    </w:p>
    <w:p w:rsidR="003B571F" w:rsidRDefault="004276E4" w:rsidP="008C7E20">
      <w:pPr>
        <w:pStyle w:val="Footer"/>
        <w:tabs>
          <w:tab w:val="clear" w:pos="4320"/>
          <w:tab w:val="clear" w:pos="8640"/>
        </w:tabs>
        <w:rPr>
          <w:rFonts w:ascii="Times New Roman" w:hAnsi="Times New Roman"/>
          <w:szCs w:val="24"/>
        </w:rPr>
      </w:pPr>
      <w:r>
        <w:rPr>
          <w:rFonts w:ascii="Times New Roman" w:hAnsi="Times New Roman"/>
          <w:szCs w:val="24"/>
        </w:rPr>
        <w:t xml:space="preserve">The term reprocessing used herein refers to the sterilization process which encompasses specific cleaning procedures if fluid intrusion occurs thereby requiring steam sterilization. </w:t>
      </w:r>
    </w:p>
    <w:p w:rsidR="003B571F" w:rsidRPr="008C7E20" w:rsidRDefault="003B571F" w:rsidP="008C7E20">
      <w:pPr>
        <w:pStyle w:val="Footer"/>
        <w:tabs>
          <w:tab w:val="clear" w:pos="4320"/>
          <w:tab w:val="clear" w:pos="8640"/>
        </w:tabs>
        <w:rPr>
          <w:rFonts w:ascii="Times New Roman" w:hAnsi="Times New Roman"/>
        </w:rPr>
      </w:pPr>
    </w:p>
    <w:p w:rsidR="009C4020" w:rsidRPr="008C7E20" w:rsidRDefault="009C4020"/>
    <w:p w:rsidR="00543B44" w:rsidRPr="008C7E20" w:rsidRDefault="00543B44">
      <w:pPr>
        <w:pStyle w:val="Footer"/>
        <w:tabs>
          <w:tab w:val="clear" w:pos="4320"/>
          <w:tab w:val="clear" w:pos="8640"/>
        </w:tabs>
        <w:rPr>
          <w:rFonts w:ascii="Times New Roman" w:hAnsi="Times New Roman"/>
          <w:szCs w:val="24"/>
        </w:rPr>
      </w:pPr>
    </w:p>
    <w:p w:rsidR="006E5B61" w:rsidRDefault="006E5B61">
      <w:pPr>
        <w:pStyle w:val="Footer"/>
        <w:tabs>
          <w:tab w:val="clear" w:pos="4320"/>
          <w:tab w:val="clear" w:pos="8640"/>
        </w:tabs>
        <w:rPr>
          <w:rFonts w:ascii="Times New Roman" w:hAnsi="Times New Roman"/>
          <w:szCs w:val="24"/>
        </w:rPr>
      </w:pPr>
    </w:p>
    <w:p w:rsidR="006E5B61" w:rsidRPr="008C7E20" w:rsidRDefault="006E5B61">
      <w:pPr>
        <w:pStyle w:val="Footer"/>
        <w:tabs>
          <w:tab w:val="clear" w:pos="4320"/>
          <w:tab w:val="clear" w:pos="8640"/>
        </w:tabs>
        <w:rPr>
          <w:rFonts w:ascii="Times New Roman" w:hAnsi="Times New Roman"/>
          <w:szCs w:val="24"/>
        </w:rPr>
      </w:pPr>
    </w:p>
    <w:p w:rsidR="00543B44" w:rsidRPr="008C7E20" w:rsidRDefault="003C48AF">
      <w:r>
        <w:rPr>
          <w:noProof/>
          <w:sz w:val="20"/>
        </w:rPr>
        <w:pict>
          <v:shape id="_x0000_s1039" type="#_x0000_t202" style="position:absolute;margin-left:-18pt;margin-top:-22.8pt;width:486pt;height:45pt;z-index:251648000" stroked="f">
            <v:fill color2="#969696" angle="-90" type="gradient"/>
            <v:textbox style="mso-next-textbox:#_x0000_s1039" inset=",10.8pt">
              <w:txbxContent>
                <w:p w:rsidR="00E33C69" w:rsidRDefault="00E33C69">
                  <w:pPr>
                    <w:ind w:left="720" w:hanging="720"/>
                    <w:rPr>
                      <w:rFonts w:ascii="Arial Narrow" w:hAnsi="Arial Narrow" w:cs="Arial"/>
                      <w:b/>
                      <w:sz w:val="48"/>
                    </w:rPr>
                  </w:pPr>
                  <w:r>
                    <w:rPr>
                      <w:rFonts w:cs="Arial"/>
                      <w:b/>
                      <w:i/>
                      <w:iCs/>
                      <w:color w:val="FFFFFF"/>
                      <w:sz w:val="72"/>
                    </w:rPr>
                    <w:tab/>
                  </w:r>
                  <w:r>
                    <w:rPr>
                      <w:rFonts w:ascii="Arial Narrow" w:hAnsi="Arial Narrow" w:cs="Arial"/>
                      <w:b/>
                      <w:sz w:val="48"/>
                    </w:rPr>
                    <w:t>Terminology</w:t>
                  </w:r>
                </w:p>
              </w:txbxContent>
            </v:textbox>
          </v:shape>
        </w:pict>
      </w:r>
    </w:p>
    <w:p w:rsidR="00543B44" w:rsidRDefault="00543B44"/>
    <w:p w:rsidR="006E5B61" w:rsidRPr="008C7E20" w:rsidRDefault="006E5B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7290"/>
      </w:tblGrid>
      <w:tr w:rsidR="0068098C" w:rsidRPr="00302A40" w:rsidTr="00B7428C">
        <w:tc>
          <w:tcPr>
            <w:tcW w:w="3438" w:type="dxa"/>
          </w:tcPr>
          <w:p w:rsidR="0068098C" w:rsidRPr="00302A40" w:rsidRDefault="0068098C" w:rsidP="0068098C">
            <w:pPr>
              <w:rPr>
                <w:b/>
                <w:bCs/>
              </w:rPr>
            </w:pPr>
            <w:r w:rsidRPr="00302A40">
              <w:rPr>
                <w:b/>
                <w:bCs/>
              </w:rPr>
              <w:t>CAUTION</w:t>
            </w:r>
          </w:p>
        </w:tc>
        <w:tc>
          <w:tcPr>
            <w:tcW w:w="7290" w:type="dxa"/>
          </w:tcPr>
          <w:p w:rsidR="0068098C" w:rsidRPr="00302A40" w:rsidRDefault="0068098C" w:rsidP="0068098C">
            <w:r w:rsidRPr="00302A40">
              <w:t>Alerts user to actions or conditions that can cause damage to the device or may result in substandard performance of the device or system.</w:t>
            </w:r>
          </w:p>
        </w:tc>
      </w:tr>
      <w:tr w:rsidR="0068098C" w:rsidRPr="00302A40" w:rsidTr="00B7428C">
        <w:tc>
          <w:tcPr>
            <w:tcW w:w="3438" w:type="dxa"/>
          </w:tcPr>
          <w:p w:rsidR="0068098C" w:rsidRPr="00302A40" w:rsidRDefault="0068098C" w:rsidP="0068098C">
            <w:pPr>
              <w:rPr>
                <w:b/>
                <w:bCs/>
              </w:rPr>
            </w:pPr>
            <w:r>
              <w:rPr>
                <w:b/>
                <w:bCs/>
              </w:rPr>
              <w:t>CLEANING</w:t>
            </w:r>
          </w:p>
        </w:tc>
        <w:tc>
          <w:tcPr>
            <w:tcW w:w="7290" w:type="dxa"/>
          </w:tcPr>
          <w:p w:rsidR="0068098C" w:rsidRPr="00302A40" w:rsidRDefault="0068098C" w:rsidP="00722EEA">
            <w:r>
              <w:t xml:space="preserve">Removal of </w:t>
            </w:r>
            <w:r w:rsidR="00722EEA">
              <w:t xml:space="preserve">foreign material (soil, organic material) from an item </w:t>
            </w:r>
          </w:p>
        </w:tc>
      </w:tr>
      <w:tr w:rsidR="0068098C" w:rsidRPr="00302A40" w:rsidTr="00B7428C">
        <w:tc>
          <w:tcPr>
            <w:tcW w:w="3438" w:type="dxa"/>
          </w:tcPr>
          <w:p w:rsidR="0068098C" w:rsidRPr="00302A40" w:rsidRDefault="0068098C" w:rsidP="0068098C">
            <w:pPr>
              <w:rPr>
                <w:b/>
                <w:bCs/>
              </w:rPr>
            </w:pPr>
            <w:r w:rsidRPr="00302A40">
              <w:rPr>
                <w:b/>
                <w:bCs/>
              </w:rPr>
              <w:t>CONTAMINATED</w:t>
            </w:r>
          </w:p>
        </w:tc>
        <w:tc>
          <w:tcPr>
            <w:tcW w:w="7290" w:type="dxa"/>
          </w:tcPr>
          <w:p w:rsidR="0068098C" w:rsidRPr="00302A40" w:rsidRDefault="0068098C" w:rsidP="0068098C">
            <w:r w:rsidRPr="00302A40">
              <w:t>State of having been actually or potentially in contact with microorganisms</w:t>
            </w:r>
          </w:p>
        </w:tc>
      </w:tr>
      <w:tr w:rsidR="0068098C" w:rsidRPr="00302A40" w:rsidTr="00302A40">
        <w:trPr>
          <w:trHeight w:val="602"/>
        </w:trPr>
        <w:tc>
          <w:tcPr>
            <w:tcW w:w="3438" w:type="dxa"/>
          </w:tcPr>
          <w:p w:rsidR="0068098C" w:rsidRPr="00302A40" w:rsidRDefault="0068098C" w:rsidP="0068098C">
            <w:pPr>
              <w:rPr>
                <w:b/>
                <w:bCs/>
              </w:rPr>
            </w:pPr>
            <w:r w:rsidRPr="00302A40">
              <w:rPr>
                <w:b/>
                <w:bCs/>
              </w:rPr>
              <w:t>IMPORTANT</w:t>
            </w:r>
          </w:p>
        </w:tc>
        <w:tc>
          <w:tcPr>
            <w:tcW w:w="7290" w:type="dxa"/>
          </w:tcPr>
          <w:p w:rsidR="0068098C" w:rsidRPr="00302A40" w:rsidRDefault="0068098C" w:rsidP="0068098C">
            <w:r w:rsidRPr="00302A40">
              <w:t>Indicates an action that is emphasized to ensure proper operation of equipment</w:t>
            </w:r>
          </w:p>
        </w:tc>
      </w:tr>
      <w:tr w:rsidR="0068098C" w:rsidRPr="00302A40" w:rsidTr="006E5B61">
        <w:trPr>
          <w:trHeight w:val="287"/>
        </w:trPr>
        <w:tc>
          <w:tcPr>
            <w:tcW w:w="3438" w:type="dxa"/>
          </w:tcPr>
          <w:p w:rsidR="0068098C" w:rsidRPr="00302A40" w:rsidRDefault="0068098C" w:rsidP="0068098C">
            <w:pPr>
              <w:rPr>
                <w:b/>
                <w:bCs/>
              </w:rPr>
            </w:pPr>
            <w:r>
              <w:rPr>
                <w:b/>
                <w:bCs/>
              </w:rPr>
              <w:t>MANUAL CLEANING</w:t>
            </w:r>
          </w:p>
        </w:tc>
        <w:tc>
          <w:tcPr>
            <w:tcW w:w="7290" w:type="dxa"/>
          </w:tcPr>
          <w:p w:rsidR="0068098C" w:rsidRPr="00302A40" w:rsidRDefault="0068098C" w:rsidP="0068098C">
            <w:r>
              <w:t>Cleanin</w:t>
            </w:r>
            <w:r w:rsidR="00A2196A">
              <w:t>g without the use of a washer or</w:t>
            </w:r>
            <w:r>
              <w:t xml:space="preserve"> washer-disinfector</w:t>
            </w:r>
          </w:p>
        </w:tc>
      </w:tr>
      <w:tr w:rsidR="004E4F68" w:rsidRPr="00302A40" w:rsidTr="00B7428C">
        <w:tc>
          <w:tcPr>
            <w:tcW w:w="3438" w:type="dxa"/>
          </w:tcPr>
          <w:p w:rsidR="001A4ADC" w:rsidRPr="00302A40" w:rsidRDefault="004E4F68" w:rsidP="00722EEA">
            <w:pPr>
              <w:rPr>
                <w:b/>
                <w:bCs/>
              </w:rPr>
            </w:pPr>
            <w:r w:rsidRPr="00302A40">
              <w:rPr>
                <w:b/>
                <w:bCs/>
              </w:rPr>
              <w:t>PROCESSING</w:t>
            </w:r>
          </w:p>
        </w:tc>
        <w:tc>
          <w:tcPr>
            <w:tcW w:w="7290" w:type="dxa"/>
          </w:tcPr>
          <w:p w:rsidR="004E4F68" w:rsidRPr="00302A40" w:rsidRDefault="004E4F68" w:rsidP="00C91537">
            <w:r w:rsidRPr="00302A40">
              <w:t>Act of subjecting medical devices to the various routes used</w:t>
            </w:r>
            <w:r w:rsidR="00722EEA">
              <w:t xml:space="preserve"> for point of care cleaning/ </w:t>
            </w:r>
            <w:r w:rsidRPr="00302A40">
              <w:t xml:space="preserve">disinfection </w:t>
            </w:r>
            <w:r w:rsidR="00C91537">
              <w:t xml:space="preserve">or </w:t>
            </w:r>
            <w:r w:rsidR="00722EEA">
              <w:t xml:space="preserve">sterile reprocessing </w:t>
            </w:r>
          </w:p>
        </w:tc>
      </w:tr>
      <w:tr w:rsidR="004E4F68" w:rsidRPr="00302A40" w:rsidTr="00B7428C">
        <w:tc>
          <w:tcPr>
            <w:tcW w:w="3438" w:type="dxa"/>
          </w:tcPr>
          <w:p w:rsidR="004E4F68" w:rsidRPr="00302A40" w:rsidRDefault="004E4F68">
            <w:pPr>
              <w:rPr>
                <w:b/>
                <w:bCs/>
              </w:rPr>
            </w:pPr>
            <w:r w:rsidRPr="00302A40">
              <w:rPr>
                <w:b/>
                <w:bCs/>
              </w:rPr>
              <w:t>STERILIZATION</w:t>
            </w:r>
          </w:p>
        </w:tc>
        <w:tc>
          <w:tcPr>
            <w:tcW w:w="7290" w:type="dxa"/>
          </w:tcPr>
          <w:p w:rsidR="004E4F68" w:rsidRPr="00302A40" w:rsidRDefault="004E4F68" w:rsidP="00F81C74">
            <w:r w:rsidRPr="00302A40">
              <w:t>A validated process used to render a device free from all forms of viable microorganisms</w:t>
            </w:r>
          </w:p>
        </w:tc>
      </w:tr>
      <w:tr w:rsidR="00424052" w:rsidRPr="00302A40" w:rsidTr="00B7428C">
        <w:tc>
          <w:tcPr>
            <w:tcW w:w="3438" w:type="dxa"/>
          </w:tcPr>
          <w:p w:rsidR="00424052" w:rsidRPr="00302A40" w:rsidRDefault="00424052" w:rsidP="00424052">
            <w:pPr>
              <w:rPr>
                <w:b/>
                <w:bCs/>
              </w:rPr>
            </w:pPr>
            <w:r w:rsidRPr="00302A40">
              <w:rPr>
                <w:b/>
                <w:bCs/>
              </w:rPr>
              <w:t>WARNING</w:t>
            </w:r>
          </w:p>
        </w:tc>
        <w:tc>
          <w:tcPr>
            <w:tcW w:w="7290" w:type="dxa"/>
          </w:tcPr>
          <w:p w:rsidR="00424052" w:rsidRPr="00302A40" w:rsidRDefault="00424052" w:rsidP="00424052">
            <w:r w:rsidRPr="00302A40">
              <w:t>Alerts user to actions or conditions that could result in injury to user or patient</w:t>
            </w:r>
          </w:p>
        </w:tc>
      </w:tr>
    </w:tbl>
    <w:p w:rsidR="00B7428C" w:rsidRDefault="00B7428C"/>
    <w:p w:rsidR="006E5B61" w:rsidRDefault="006E5B61"/>
    <w:p w:rsidR="006E5B61" w:rsidRPr="008C7E20" w:rsidRDefault="006E5B61"/>
    <w:p w:rsidR="00543B44" w:rsidRPr="008C7E20" w:rsidRDefault="00543B44"/>
    <w:p w:rsidR="00543B44" w:rsidRPr="008C7E20" w:rsidRDefault="003C48AF">
      <w:r>
        <w:rPr>
          <w:noProof/>
          <w:sz w:val="20"/>
        </w:rPr>
        <w:pict>
          <v:shape id="_x0000_s1045" type="#_x0000_t202" style="position:absolute;margin-left:-9pt;margin-top:-27pt;width:486pt;height:45pt;z-index:251649024" stroked="f">
            <v:fill color2="#969696" angle="-90" type="gradient"/>
            <v:textbox style="mso-next-textbox:#_x0000_s1045" inset=",10.8pt">
              <w:txbxContent>
                <w:p w:rsidR="00E33C69" w:rsidRDefault="00E33C69">
                  <w:pPr>
                    <w:ind w:left="720" w:hanging="720"/>
                    <w:rPr>
                      <w:rFonts w:ascii="Arial Narrow" w:hAnsi="Arial Narrow" w:cs="Arial"/>
                      <w:b/>
                      <w:sz w:val="48"/>
                    </w:rPr>
                  </w:pPr>
                  <w:r>
                    <w:rPr>
                      <w:rFonts w:cs="Arial"/>
                      <w:b/>
                      <w:i/>
                      <w:iCs/>
                      <w:color w:val="FFFFFF"/>
                      <w:sz w:val="72"/>
                    </w:rPr>
                    <w:tab/>
                  </w:r>
                  <w:r>
                    <w:rPr>
                      <w:rFonts w:ascii="Arial Narrow" w:hAnsi="Arial Narrow" w:cs="Arial"/>
                      <w:b/>
                      <w:sz w:val="48"/>
                    </w:rPr>
                    <w:t>Safety Information</w:t>
                  </w:r>
                </w:p>
              </w:txbxContent>
            </v:textbox>
          </v:shape>
        </w:pict>
      </w:r>
    </w:p>
    <w:p w:rsidR="00543B44" w:rsidRPr="008C7E20" w:rsidRDefault="00543B44"/>
    <w:p w:rsidR="00543B44" w:rsidRPr="008C7E20" w:rsidRDefault="003C48AF">
      <w:r>
        <w:rPr>
          <w:noProof/>
          <w:sz w:val="20"/>
        </w:rPr>
        <w:pict>
          <v:shape id="_x0000_s1050" type="#_x0000_t202" style="position:absolute;margin-left:-9pt;margin-top:5.85pt;width:81pt;height:27pt;z-index:251650048" fillcolor="black">
            <v:textbox style="mso-next-textbox:#_x0000_s1050">
              <w:txbxContent>
                <w:p w:rsidR="00E33C69" w:rsidRDefault="00E33C69" w:rsidP="00302A40">
                  <w:pPr>
                    <w:tabs>
                      <w:tab w:val="left" w:pos="0"/>
                    </w:tabs>
                    <w:rPr>
                      <w:rFonts w:ascii="Arial Narrow" w:hAnsi="Arial Narrow"/>
                      <w:b/>
                      <w:bCs/>
                      <w:color w:val="FFFFFF"/>
                      <w:sz w:val="28"/>
                    </w:rPr>
                  </w:pPr>
                  <w:r>
                    <w:rPr>
                      <w:rFonts w:ascii="Arial Narrow" w:hAnsi="Arial Narrow"/>
                      <w:b/>
                      <w:bCs/>
                      <w:color w:val="FFFFFF"/>
                      <w:sz w:val="28"/>
                    </w:rPr>
                    <w:t>WARNING!</w:t>
                  </w:r>
                </w:p>
              </w:txbxContent>
            </v:textbox>
          </v:shape>
        </w:pict>
      </w:r>
    </w:p>
    <w:p w:rsidR="00543B44" w:rsidRPr="008C7E20" w:rsidRDefault="00543B44"/>
    <w:p w:rsidR="00543B44" w:rsidRPr="008C7E20" w:rsidRDefault="00543B44">
      <w:pPr>
        <w:rPr>
          <w:sz w:val="20"/>
        </w:rPr>
      </w:pPr>
    </w:p>
    <w:p w:rsidR="00543B44" w:rsidRPr="00302A40" w:rsidRDefault="00176688" w:rsidP="00EF530F">
      <w:pPr>
        <w:numPr>
          <w:ilvl w:val="0"/>
          <w:numId w:val="17"/>
        </w:numPr>
        <w:jc w:val="both"/>
      </w:pPr>
      <w:r w:rsidRPr="00302A40">
        <w:t xml:space="preserve">Boehringer suction regulators are </w:t>
      </w:r>
      <w:r w:rsidR="00543B44" w:rsidRPr="00302A40">
        <w:t xml:space="preserve">intended </w:t>
      </w:r>
      <w:r w:rsidR="00EF530F" w:rsidRPr="00302A40">
        <w:t>to be cared for per the instructions in this manual</w:t>
      </w:r>
      <w:r w:rsidR="00531EAA" w:rsidRPr="00302A40">
        <w:t xml:space="preserve"> a</w:t>
      </w:r>
      <w:r w:rsidR="006E5B61">
        <w:t>s well as the instructions for u</w:t>
      </w:r>
      <w:r w:rsidR="00531EAA" w:rsidRPr="00302A40">
        <w:t xml:space="preserve">se specific </w:t>
      </w:r>
      <w:r w:rsidR="00B85D2C" w:rsidRPr="00302A40">
        <w:t xml:space="preserve">to </w:t>
      </w:r>
      <w:r w:rsidR="006E5B61">
        <w:t>each</w:t>
      </w:r>
      <w:r w:rsidR="00B85D2C" w:rsidRPr="00302A40">
        <w:t xml:space="preserve"> </w:t>
      </w:r>
      <w:r w:rsidR="006E5B61">
        <w:t xml:space="preserve">model of </w:t>
      </w:r>
      <w:r w:rsidR="00531EAA" w:rsidRPr="00302A40">
        <w:t>suction control</w:t>
      </w:r>
      <w:r w:rsidR="00EF530F" w:rsidRPr="00302A40">
        <w:t xml:space="preserve">. Failure to follow the guidelines herein </w:t>
      </w:r>
      <w:r w:rsidR="00450D49" w:rsidRPr="00302A40">
        <w:t xml:space="preserve">may result in unsatisfactory levels of </w:t>
      </w:r>
      <w:r w:rsidR="008B1F42" w:rsidRPr="00302A40">
        <w:t>disinfection</w:t>
      </w:r>
      <w:r w:rsidR="00B85D2C" w:rsidRPr="00302A40">
        <w:t xml:space="preserve"> or sterilization</w:t>
      </w:r>
      <w:r w:rsidR="00A2196A">
        <w:t xml:space="preserve"> and may compromise regulator performance</w:t>
      </w:r>
      <w:r w:rsidR="00450D49" w:rsidRPr="00302A40">
        <w:t>.</w:t>
      </w:r>
    </w:p>
    <w:p w:rsidR="00450D49" w:rsidRPr="00302A40" w:rsidRDefault="00450D49" w:rsidP="00450D49">
      <w:pPr>
        <w:numPr>
          <w:ilvl w:val="0"/>
          <w:numId w:val="17"/>
        </w:numPr>
        <w:jc w:val="both"/>
      </w:pPr>
      <w:r w:rsidRPr="00302A40">
        <w:t xml:space="preserve">Suction regulators are used in a clinical setting on a variety of patients. The mechanisms that allow the regulators to function </w:t>
      </w:r>
      <w:r w:rsidR="00A2196A">
        <w:t>may contain</w:t>
      </w:r>
      <w:r w:rsidRPr="00302A40">
        <w:t xml:space="preserve"> </w:t>
      </w:r>
      <w:r w:rsidR="00EC7DBB">
        <w:t>b</w:t>
      </w:r>
      <w:r w:rsidRPr="00302A40">
        <w:t xml:space="preserve">iological contamination </w:t>
      </w:r>
      <w:r w:rsidR="007E171D">
        <w:t>even</w:t>
      </w:r>
      <w:r w:rsidRPr="00302A40">
        <w:t xml:space="preserve"> though there are no apparent signs of contamination. Always utilize appropriate </w:t>
      </w:r>
      <w:r w:rsidR="00980528" w:rsidRPr="00302A40">
        <w:t>PPE</w:t>
      </w:r>
      <w:r w:rsidR="00176688" w:rsidRPr="00302A40">
        <w:t xml:space="preserve"> when handling suction controls that have been in clinical use.</w:t>
      </w:r>
    </w:p>
    <w:p w:rsidR="00F26401" w:rsidRPr="00302A40" w:rsidRDefault="00450D49" w:rsidP="00F26401">
      <w:pPr>
        <w:numPr>
          <w:ilvl w:val="0"/>
          <w:numId w:val="17"/>
        </w:numPr>
        <w:jc w:val="both"/>
      </w:pPr>
      <w:r w:rsidRPr="00302A40">
        <w:t xml:space="preserve">Failure to ensure the </w:t>
      </w:r>
      <w:r w:rsidR="007E171D">
        <w:t xml:space="preserve">suction </w:t>
      </w:r>
      <w:r w:rsidRPr="00302A40">
        <w:t xml:space="preserve">regulator is </w:t>
      </w:r>
      <w:r w:rsidR="007E171D">
        <w:t>functioning properly</w:t>
      </w:r>
      <w:r w:rsidRPr="00302A40">
        <w:t xml:space="preserve"> after </w:t>
      </w:r>
      <w:r w:rsidR="00A22E44" w:rsidRPr="00302A40">
        <w:t>processing</w:t>
      </w:r>
      <w:r w:rsidRPr="00302A40">
        <w:t xml:space="preserve"> </w:t>
      </w:r>
      <w:r w:rsidR="00176688" w:rsidRPr="00302A40">
        <w:t>can increase patient risk</w:t>
      </w:r>
      <w:r w:rsidRPr="00302A40">
        <w:t>. Ensure</w:t>
      </w:r>
      <w:r w:rsidR="007E171D">
        <w:t xml:space="preserve"> suction controls function</w:t>
      </w:r>
      <w:r w:rsidRPr="00302A40">
        <w:t xml:space="preserve"> properly</w:t>
      </w:r>
      <w:r w:rsidR="00176688" w:rsidRPr="00302A40">
        <w:t xml:space="preserve"> before they are returned to service.</w:t>
      </w:r>
    </w:p>
    <w:p w:rsidR="00C358C4" w:rsidRDefault="00C358C4">
      <w:pPr>
        <w:rPr>
          <w:sz w:val="20"/>
        </w:rPr>
      </w:pPr>
      <w:r>
        <w:rPr>
          <w:sz w:val="20"/>
        </w:rPr>
        <w:br w:type="page"/>
      </w:r>
    </w:p>
    <w:p w:rsidR="00543B44" w:rsidRDefault="00543B44">
      <w:pPr>
        <w:rPr>
          <w:sz w:val="20"/>
        </w:rPr>
      </w:pPr>
    </w:p>
    <w:p w:rsidR="00302A40" w:rsidRPr="008C7E20" w:rsidRDefault="003C48AF">
      <w:pPr>
        <w:rPr>
          <w:sz w:val="20"/>
        </w:rPr>
      </w:pPr>
      <w:r>
        <w:rPr>
          <w:sz w:val="20"/>
        </w:rPr>
        <w:pict>
          <v:shape id="_x0000_s1051" type="#_x0000_t202" style="position:absolute;margin-left:-5.25pt;margin-top:-.55pt;width:81pt;height:27pt;z-index:251651072" fillcolor="black">
            <v:textbox>
              <w:txbxContent>
                <w:p w:rsidR="00E33C69" w:rsidRDefault="00E33C69">
                  <w:pPr>
                    <w:rPr>
                      <w:rFonts w:ascii="Arial Narrow" w:hAnsi="Arial Narrow"/>
                      <w:b/>
                      <w:bCs/>
                      <w:color w:val="FFFFFF"/>
                      <w:sz w:val="28"/>
                    </w:rPr>
                  </w:pPr>
                  <w:r>
                    <w:rPr>
                      <w:rFonts w:ascii="Arial Narrow" w:hAnsi="Arial Narrow"/>
                      <w:b/>
                      <w:bCs/>
                      <w:color w:val="FFFFFF"/>
                      <w:sz w:val="28"/>
                    </w:rPr>
                    <w:t>CAUTION!</w:t>
                  </w:r>
                </w:p>
              </w:txbxContent>
            </v:textbox>
          </v:shape>
        </w:pict>
      </w:r>
    </w:p>
    <w:p w:rsidR="00543B44" w:rsidRPr="008C7E20" w:rsidRDefault="00543B44">
      <w:pPr>
        <w:rPr>
          <w:sz w:val="20"/>
        </w:rPr>
      </w:pPr>
    </w:p>
    <w:p w:rsidR="00543B44" w:rsidRPr="008C7E20" w:rsidRDefault="00543B44">
      <w:pPr>
        <w:rPr>
          <w:sz w:val="20"/>
        </w:rPr>
      </w:pPr>
    </w:p>
    <w:p w:rsidR="00543B44" w:rsidRPr="00302A40" w:rsidRDefault="000D18D4" w:rsidP="00712DF4">
      <w:pPr>
        <w:numPr>
          <w:ilvl w:val="0"/>
          <w:numId w:val="11"/>
        </w:numPr>
        <w:tabs>
          <w:tab w:val="clear" w:pos="900"/>
          <w:tab w:val="num" w:pos="-3510"/>
        </w:tabs>
        <w:ind w:left="720"/>
      </w:pPr>
      <w:r w:rsidRPr="00302A40">
        <w:t xml:space="preserve">Hydrophobic filters, gravity shut offs, and gravity </w:t>
      </w:r>
      <w:r w:rsidR="00176688" w:rsidRPr="00302A40">
        <w:t xml:space="preserve">safety </w:t>
      </w:r>
      <w:r w:rsidRPr="00302A40">
        <w:t xml:space="preserve">traps provide a barrier to gross biological contamination but do not </w:t>
      </w:r>
      <w:r w:rsidR="00176688" w:rsidRPr="00302A40">
        <w:t xml:space="preserve">prevent </w:t>
      </w:r>
      <w:r w:rsidRPr="00302A40">
        <w:t xml:space="preserve">microbiological pathogens from entering the suction </w:t>
      </w:r>
      <w:r w:rsidR="007E171D">
        <w:t>regulator</w:t>
      </w:r>
      <w:r w:rsidRPr="00302A40">
        <w:t>.</w:t>
      </w:r>
      <w:r w:rsidR="00176688" w:rsidRPr="00302A40">
        <w:t xml:space="preserve"> Be mindful that these </w:t>
      </w:r>
      <w:r w:rsidR="00747038" w:rsidRPr="00302A40">
        <w:t>measures</w:t>
      </w:r>
      <w:r w:rsidR="00176688" w:rsidRPr="00302A40">
        <w:t xml:space="preserve"> alone do not ensure a pathogen free device will be </w:t>
      </w:r>
      <w:r w:rsidR="00531EAA" w:rsidRPr="00302A40">
        <w:t>returned to</w:t>
      </w:r>
      <w:r w:rsidR="00176688" w:rsidRPr="00302A40">
        <w:t xml:space="preserve"> clinical service. </w:t>
      </w:r>
    </w:p>
    <w:p w:rsidR="00F26401" w:rsidRPr="00302A40" w:rsidRDefault="00E606BA" w:rsidP="00712DF4">
      <w:pPr>
        <w:numPr>
          <w:ilvl w:val="0"/>
          <w:numId w:val="11"/>
        </w:numPr>
        <w:tabs>
          <w:tab w:val="clear" w:pos="900"/>
          <w:tab w:val="num" w:pos="-3510"/>
        </w:tabs>
        <w:ind w:left="720"/>
      </w:pPr>
      <w:r>
        <w:t>Avoid s</w:t>
      </w:r>
      <w:r w:rsidR="00F26401" w:rsidRPr="00302A40">
        <w:t>olutions containing high chlorine content</w:t>
      </w:r>
      <w:r w:rsidR="007E171D">
        <w:t xml:space="preserve"> (&gt;1%)</w:t>
      </w:r>
      <w:r w:rsidR="00F26401" w:rsidRPr="00302A40">
        <w:t xml:space="preserve"> as this may cause irreversible damage to the suction regulator components.</w:t>
      </w:r>
    </w:p>
    <w:p w:rsidR="00F26401" w:rsidRPr="00424052" w:rsidRDefault="007E171D" w:rsidP="00712DF4">
      <w:pPr>
        <w:numPr>
          <w:ilvl w:val="0"/>
          <w:numId w:val="11"/>
        </w:numPr>
        <w:tabs>
          <w:tab w:val="clear" w:pos="900"/>
          <w:tab w:val="num" w:pos="-3510"/>
        </w:tabs>
        <w:ind w:left="720"/>
        <w:rPr>
          <w:sz w:val="20"/>
        </w:rPr>
      </w:pPr>
      <w:r>
        <w:t>D</w:t>
      </w:r>
      <w:r w:rsidR="00424052">
        <w:t xml:space="preserve">evices </w:t>
      </w:r>
      <w:r>
        <w:t xml:space="preserve">that are </w:t>
      </w:r>
      <w:r w:rsidR="00722EEA">
        <w:t xml:space="preserve">visibly </w:t>
      </w:r>
      <w:r>
        <w:t xml:space="preserve">contaminated </w:t>
      </w:r>
      <w:r w:rsidR="00424052">
        <w:t>must be thoroughly cleaned before processing</w:t>
      </w:r>
      <w:r>
        <w:t xml:space="preserve"> </w:t>
      </w:r>
      <w:r w:rsidR="00424052">
        <w:t xml:space="preserve">to ensure the efficacy </w:t>
      </w:r>
      <w:r w:rsidR="00C91537">
        <w:t xml:space="preserve">of the disinfection / </w:t>
      </w:r>
      <w:r w:rsidR="00722EEA">
        <w:t>sterilization process</w:t>
      </w:r>
      <w:r w:rsidR="00424052">
        <w:t>.</w:t>
      </w:r>
    </w:p>
    <w:p w:rsidR="00424052" w:rsidRPr="004A390D" w:rsidRDefault="00722EEA" w:rsidP="00712DF4">
      <w:pPr>
        <w:numPr>
          <w:ilvl w:val="0"/>
          <w:numId w:val="11"/>
        </w:numPr>
        <w:tabs>
          <w:tab w:val="clear" w:pos="900"/>
          <w:tab w:val="num" w:pos="-3510"/>
        </w:tabs>
        <w:ind w:left="720"/>
        <w:rPr>
          <w:sz w:val="20"/>
        </w:rPr>
      </w:pPr>
      <w:r>
        <w:t xml:space="preserve">Immediate use steam </w:t>
      </w:r>
      <w:r w:rsidR="00E72361">
        <w:t>sterilization</w:t>
      </w:r>
      <w:r>
        <w:t xml:space="preserve"> (IUSS) is not a recommended process for Boehringer Suction regulators.</w:t>
      </w:r>
    </w:p>
    <w:p w:rsidR="004A390D" w:rsidRPr="001807CF" w:rsidRDefault="004A390D" w:rsidP="004A390D">
      <w:pPr>
        <w:ind w:left="720"/>
        <w:rPr>
          <w:sz w:val="20"/>
        </w:rPr>
      </w:pPr>
    </w:p>
    <w:p w:rsidR="00712DF4" w:rsidRPr="008C7E20" w:rsidRDefault="003C48AF" w:rsidP="00712DF4">
      <w:pPr>
        <w:ind w:left="900"/>
        <w:rPr>
          <w:sz w:val="20"/>
        </w:rPr>
      </w:pPr>
      <w:r>
        <w:rPr>
          <w:noProof/>
          <w:sz w:val="20"/>
        </w:rPr>
        <w:pict>
          <v:shape id="_x0000_s1189" type="#_x0000_t202" style="position:absolute;left:0;text-align:left;margin-left:-6pt;margin-top:.55pt;width:173.25pt;height:27pt;z-index:251682816" fillcolor="black">
            <v:textbox>
              <w:txbxContent>
                <w:p w:rsidR="00E33C69" w:rsidRDefault="00E33C69" w:rsidP="00712DF4">
                  <w:pPr>
                    <w:rPr>
                      <w:rFonts w:ascii="Arial Narrow" w:hAnsi="Arial Narrow"/>
                      <w:b/>
                      <w:bCs/>
                      <w:color w:val="FFFFFF"/>
                      <w:sz w:val="28"/>
                    </w:rPr>
                  </w:pPr>
                  <w:r>
                    <w:rPr>
                      <w:rFonts w:ascii="Arial Narrow" w:hAnsi="Arial Narrow"/>
                      <w:b/>
                      <w:bCs/>
                      <w:color w:val="FFFFFF"/>
                      <w:sz w:val="28"/>
                    </w:rPr>
                    <w:t>LIMITS ON REPROCESSING</w:t>
                  </w:r>
                </w:p>
              </w:txbxContent>
            </v:textbox>
          </v:shape>
        </w:pict>
      </w:r>
    </w:p>
    <w:p w:rsidR="004E4E87" w:rsidRDefault="004E4E87" w:rsidP="004E4E87">
      <w:pPr>
        <w:ind w:left="900"/>
        <w:rPr>
          <w:sz w:val="20"/>
        </w:rPr>
      </w:pPr>
    </w:p>
    <w:p w:rsidR="00712DF4" w:rsidRPr="00712DF4" w:rsidRDefault="00712DF4" w:rsidP="004E4E87">
      <w:pPr>
        <w:ind w:left="900"/>
      </w:pPr>
    </w:p>
    <w:p w:rsidR="00712DF4" w:rsidRPr="007E171D" w:rsidRDefault="00712DF4" w:rsidP="00775B26">
      <w:pPr>
        <w:pStyle w:val="ListParagraph"/>
        <w:numPr>
          <w:ilvl w:val="0"/>
          <w:numId w:val="31"/>
        </w:numPr>
      </w:pPr>
      <w:r w:rsidRPr="007E171D">
        <w:t>All detergents used should have a neutral pH</w:t>
      </w:r>
      <w:r w:rsidR="00EC7DBB">
        <w:t>.</w:t>
      </w:r>
    </w:p>
    <w:p w:rsidR="00712DF4" w:rsidRPr="007E171D" w:rsidRDefault="00712DF4" w:rsidP="00775B26">
      <w:pPr>
        <w:pStyle w:val="ListParagraph"/>
        <w:numPr>
          <w:ilvl w:val="0"/>
          <w:numId w:val="31"/>
        </w:numPr>
      </w:pPr>
      <w:r w:rsidRPr="007E171D">
        <w:t xml:space="preserve">Repeated manual washing and </w:t>
      </w:r>
      <w:r w:rsidR="004A0B6A">
        <w:t xml:space="preserve">sterilization </w:t>
      </w:r>
      <w:r w:rsidR="007E171D">
        <w:t xml:space="preserve">as described herein </w:t>
      </w:r>
      <w:r w:rsidRPr="007E171D">
        <w:t>should have minimal effects on</w:t>
      </w:r>
      <w:r w:rsidR="007E171D">
        <w:t xml:space="preserve"> the fitness for use of</w:t>
      </w:r>
      <w:r w:rsidRPr="007E171D">
        <w:t xml:space="preserve"> Boehringer </w:t>
      </w:r>
      <w:r w:rsidR="004A0B6A">
        <w:t>3800 &amp; 3900</w:t>
      </w:r>
      <w:r w:rsidR="00BF63EB">
        <w:t xml:space="preserve"> Series </w:t>
      </w:r>
      <w:r w:rsidR="004A0B6A">
        <w:t>s</w:t>
      </w:r>
      <w:r w:rsidRPr="007E171D">
        <w:t xml:space="preserve">uction </w:t>
      </w:r>
      <w:r w:rsidR="004A0B6A">
        <w:t>r</w:t>
      </w:r>
      <w:r w:rsidRPr="007E171D">
        <w:t>egulators.</w:t>
      </w:r>
    </w:p>
    <w:p w:rsidR="00543B44" w:rsidRPr="00712DF4" w:rsidRDefault="00543B44"/>
    <w:p w:rsidR="00302A40" w:rsidRPr="00712DF4" w:rsidRDefault="00302A40" w:rsidP="00302A40"/>
    <w:p w:rsidR="0019448C" w:rsidRPr="00712DF4" w:rsidRDefault="003C48AF">
      <w:pPr>
        <w:pStyle w:val="Footer"/>
        <w:tabs>
          <w:tab w:val="clear" w:pos="4320"/>
          <w:tab w:val="clear" w:pos="8640"/>
        </w:tabs>
        <w:rPr>
          <w:rFonts w:ascii="Times New Roman" w:hAnsi="Times New Roman"/>
          <w:szCs w:val="24"/>
        </w:rPr>
      </w:pPr>
      <w:r>
        <w:rPr>
          <w:rFonts w:ascii="Times New Roman" w:hAnsi="Times New Roman"/>
          <w:szCs w:val="24"/>
        </w:rPr>
        <w:pict>
          <v:shape id="_x0000_s1164" type="#_x0000_t202" style="position:absolute;margin-left:-6pt;margin-top:-2.95pt;width:486pt;height:45pt;z-index:251660288" stroked="f">
            <v:fill color2="#969696" angle="-90" type="gradient"/>
            <v:textbox style="mso-next-textbox:#_x0000_s1164" inset=",10.8pt">
              <w:txbxContent>
                <w:p w:rsidR="00E33C69" w:rsidRDefault="00E33C69" w:rsidP="0019448C">
                  <w:pPr>
                    <w:ind w:left="720" w:hanging="720"/>
                    <w:rPr>
                      <w:rFonts w:ascii="Arial Narrow" w:hAnsi="Arial Narrow" w:cs="Arial"/>
                      <w:b/>
                      <w:sz w:val="48"/>
                    </w:rPr>
                  </w:pPr>
                  <w:r>
                    <w:rPr>
                      <w:rFonts w:cs="Arial"/>
                      <w:b/>
                      <w:i/>
                      <w:iCs/>
                      <w:color w:val="FFFFFF"/>
                      <w:sz w:val="72"/>
                    </w:rPr>
                    <w:tab/>
                  </w:r>
                  <w:r>
                    <w:rPr>
                      <w:rFonts w:ascii="Arial Narrow" w:hAnsi="Arial Narrow" w:cs="Arial"/>
                      <w:b/>
                      <w:sz w:val="48"/>
                    </w:rPr>
                    <w:t>Considerations</w:t>
                  </w:r>
                </w:p>
              </w:txbxContent>
            </v:textbox>
          </v:shape>
        </w:pict>
      </w:r>
    </w:p>
    <w:p w:rsidR="0019448C" w:rsidRPr="00712DF4" w:rsidRDefault="0019448C">
      <w:pPr>
        <w:pStyle w:val="Footer"/>
        <w:tabs>
          <w:tab w:val="clear" w:pos="4320"/>
          <w:tab w:val="clear" w:pos="8640"/>
        </w:tabs>
        <w:rPr>
          <w:rFonts w:ascii="Times New Roman" w:hAnsi="Times New Roman"/>
          <w:szCs w:val="24"/>
        </w:rPr>
      </w:pPr>
    </w:p>
    <w:p w:rsidR="0019448C" w:rsidRPr="00712DF4" w:rsidRDefault="0019448C">
      <w:pPr>
        <w:pStyle w:val="Footer"/>
        <w:tabs>
          <w:tab w:val="clear" w:pos="4320"/>
          <w:tab w:val="clear" w:pos="8640"/>
        </w:tabs>
        <w:rPr>
          <w:rFonts w:ascii="Times New Roman" w:hAnsi="Times New Roman"/>
          <w:szCs w:val="24"/>
        </w:rPr>
      </w:pPr>
    </w:p>
    <w:p w:rsidR="00EC0750" w:rsidRPr="00712DF4" w:rsidRDefault="0019448C">
      <w:pPr>
        <w:pStyle w:val="Footer"/>
        <w:tabs>
          <w:tab w:val="clear" w:pos="4320"/>
          <w:tab w:val="clear" w:pos="8640"/>
        </w:tabs>
        <w:rPr>
          <w:rFonts w:ascii="Times New Roman" w:hAnsi="Times New Roman"/>
          <w:szCs w:val="24"/>
        </w:rPr>
      </w:pPr>
      <w:r w:rsidRPr="00712DF4">
        <w:rPr>
          <w:rFonts w:ascii="Times New Roman" w:hAnsi="Times New Roman"/>
          <w:szCs w:val="24"/>
        </w:rPr>
        <w:tab/>
      </w:r>
    </w:p>
    <w:p w:rsidR="00EC0750" w:rsidRPr="00712DF4" w:rsidRDefault="00EC0750" w:rsidP="004A390D">
      <w:pPr>
        <w:pStyle w:val="Footer"/>
        <w:numPr>
          <w:ilvl w:val="1"/>
          <w:numId w:val="29"/>
        </w:numPr>
        <w:tabs>
          <w:tab w:val="clear" w:pos="4320"/>
          <w:tab w:val="clear" w:pos="8640"/>
        </w:tabs>
        <w:ind w:left="720"/>
        <w:rPr>
          <w:rFonts w:ascii="Times New Roman" w:hAnsi="Times New Roman"/>
          <w:szCs w:val="24"/>
        </w:rPr>
      </w:pPr>
      <w:r w:rsidRPr="00712DF4">
        <w:rPr>
          <w:rFonts w:ascii="Times New Roman" w:hAnsi="Times New Roman"/>
          <w:szCs w:val="24"/>
        </w:rPr>
        <w:t>The end user / individual / department responsible for processing these devices should comply with local laws and ordinances in countries where reprocessing requirements are more stringent than those detailed in this manual.</w:t>
      </w:r>
    </w:p>
    <w:p w:rsidR="004A390D" w:rsidRDefault="004A390D" w:rsidP="004A390D">
      <w:pPr>
        <w:numPr>
          <w:ilvl w:val="0"/>
          <w:numId w:val="29"/>
        </w:numPr>
      </w:pPr>
      <w:r>
        <w:t>The use of personal protective equipment is recommended whenever handling a potentially contaminated piece of medical equipment.</w:t>
      </w:r>
    </w:p>
    <w:p w:rsidR="001A4ADC" w:rsidRDefault="001A4ADC" w:rsidP="004A390D">
      <w:pPr>
        <w:numPr>
          <w:ilvl w:val="0"/>
          <w:numId w:val="29"/>
        </w:numPr>
      </w:pPr>
      <w:r>
        <w:t xml:space="preserve">It is the </w:t>
      </w:r>
      <w:r w:rsidR="004A0B6A">
        <w:t xml:space="preserve">responsibility of the hospital </w:t>
      </w:r>
      <w:r>
        <w:t xml:space="preserve">to ensure personnel have proper qualifications and are trained to perform </w:t>
      </w:r>
      <w:r w:rsidR="004A0B6A">
        <w:t>disinfection and sterile reprocessing procedures.</w:t>
      </w:r>
    </w:p>
    <w:p w:rsidR="001A4ADC" w:rsidRDefault="004A390D" w:rsidP="004A390D">
      <w:pPr>
        <w:numPr>
          <w:ilvl w:val="0"/>
          <w:numId w:val="29"/>
        </w:numPr>
      </w:pPr>
      <w:r>
        <w:t xml:space="preserve">Equipment used </w:t>
      </w:r>
      <w:r w:rsidR="00775B26">
        <w:t xml:space="preserve">for reprocessing should be validated and routinely monitored to ensure proper performance.  </w:t>
      </w:r>
    </w:p>
    <w:p w:rsidR="004A390D" w:rsidRDefault="00775B26" w:rsidP="004A390D">
      <w:pPr>
        <w:numPr>
          <w:ilvl w:val="0"/>
          <w:numId w:val="29"/>
        </w:numPr>
      </w:pPr>
      <w:r>
        <w:t xml:space="preserve">Any deviation outside of these </w:t>
      </w:r>
      <w:r w:rsidR="001A4ADC">
        <w:t xml:space="preserve">processing </w:t>
      </w:r>
      <w:r>
        <w:t>protocols should be properly evaluated for efficacy and potential adverse consequences.</w:t>
      </w:r>
    </w:p>
    <w:p w:rsidR="00D66BD3" w:rsidRDefault="00D66BD3" w:rsidP="004A390D">
      <w:pPr>
        <w:numPr>
          <w:ilvl w:val="0"/>
          <w:numId w:val="29"/>
        </w:numPr>
      </w:pPr>
      <w:r>
        <w:t xml:space="preserve">It is the responsibility </w:t>
      </w:r>
      <w:r w:rsidRPr="00BF1C72">
        <w:t xml:space="preserve">of the hospital to ensure that suction </w:t>
      </w:r>
      <w:r w:rsidR="001A4ADC">
        <w:t>regulators</w:t>
      </w:r>
      <w:r w:rsidRPr="00BF1C72">
        <w:t xml:space="preserve"> have been appropriately </w:t>
      </w:r>
      <w:r w:rsidR="001A4ADC">
        <w:t>processed</w:t>
      </w:r>
      <w:r w:rsidRPr="00BF1C72">
        <w:t>.</w:t>
      </w:r>
    </w:p>
    <w:p w:rsidR="002C7694" w:rsidRDefault="002C7694">
      <w:r>
        <w:br w:type="page"/>
      </w:r>
    </w:p>
    <w:p w:rsidR="00C80363" w:rsidRDefault="003C48AF" w:rsidP="00C80363">
      <w:r>
        <w:rPr>
          <w:noProof/>
        </w:rPr>
        <w:lastRenderedPageBreak/>
        <w:pict>
          <v:shape id="_x0000_s1195" type="#_x0000_t202" style="position:absolute;margin-left:.85pt;margin-top:4.05pt;width:486pt;height:45pt;z-index:251686912" stroked="f">
            <v:fill color2="#969696" angle="-90" type="gradient"/>
            <v:textbox style="mso-next-textbox:#_x0000_s1195" inset=",10.8pt">
              <w:txbxContent>
                <w:p w:rsidR="00E33C69" w:rsidRDefault="00E33C69" w:rsidP="00C80363">
                  <w:pPr>
                    <w:ind w:left="720" w:hanging="720"/>
                    <w:rPr>
                      <w:rFonts w:ascii="Arial Narrow" w:hAnsi="Arial Narrow" w:cs="Arial"/>
                      <w:b/>
                      <w:sz w:val="48"/>
                    </w:rPr>
                  </w:pPr>
                  <w:r>
                    <w:rPr>
                      <w:rFonts w:cs="Arial"/>
                      <w:b/>
                      <w:i/>
                      <w:iCs/>
                      <w:color w:val="FFFFFF"/>
                      <w:sz w:val="72"/>
                    </w:rPr>
                    <w:tab/>
                  </w:r>
                  <w:r>
                    <w:rPr>
                      <w:rFonts w:ascii="Arial Narrow" w:hAnsi="Arial Narrow" w:cs="Arial"/>
                      <w:b/>
                      <w:sz w:val="48"/>
                    </w:rPr>
                    <w:t>Point of Care Cleaning / Disinfection</w:t>
                  </w:r>
                </w:p>
              </w:txbxContent>
            </v:textbox>
          </v:shape>
        </w:pict>
      </w:r>
    </w:p>
    <w:p w:rsidR="00C80363" w:rsidRDefault="00C80363" w:rsidP="00C80363"/>
    <w:p w:rsidR="00C80363" w:rsidRPr="00712DF4" w:rsidRDefault="00C80363" w:rsidP="00C80363">
      <w:pPr>
        <w:ind w:left="-270"/>
        <w:jc w:val="center"/>
      </w:pPr>
    </w:p>
    <w:p w:rsidR="00C80363" w:rsidRPr="00712DF4" w:rsidRDefault="00C80363" w:rsidP="00C80363">
      <w:pPr>
        <w:ind w:left="-270"/>
        <w:jc w:val="center"/>
      </w:pPr>
    </w:p>
    <w:p w:rsidR="00C80363" w:rsidRPr="00712DF4" w:rsidRDefault="003C48AF" w:rsidP="00C80363">
      <w:r>
        <w:rPr>
          <w:noProof/>
        </w:rPr>
        <w:pict>
          <v:shape id="_x0000_s1193" type="#_x0000_t202" style="position:absolute;margin-left:.85pt;margin-top:3.95pt;width:139.55pt;height:27pt;z-index:251685888" fillcolor="black">
            <v:textbox style="mso-next-textbox:#_x0000_s1193">
              <w:txbxContent>
                <w:p w:rsidR="00E33C69" w:rsidRDefault="00E33C69" w:rsidP="00C80363">
                  <w:pPr>
                    <w:jc w:val="both"/>
                    <w:rPr>
                      <w:rFonts w:ascii="Arial Narrow" w:hAnsi="Arial Narrow"/>
                      <w:b/>
                      <w:bCs/>
                      <w:caps/>
                      <w:color w:val="FFFFFF"/>
                      <w:sz w:val="28"/>
                    </w:rPr>
                  </w:pPr>
                  <w:r>
                    <w:rPr>
                      <w:rFonts w:ascii="Arial Narrow" w:hAnsi="Arial Narrow"/>
                      <w:b/>
                      <w:bCs/>
                      <w:caps/>
                      <w:color w:val="FFFFFF"/>
                      <w:sz w:val="28"/>
                    </w:rPr>
                    <w:t>Point of use Care</w:t>
                  </w:r>
                </w:p>
                <w:p w:rsidR="00E33C69" w:rsidRDefault="00E33C69" w:rsidP="00C80363">
                  <w:pPr>
                    <w:rPr>
                      <w:rFonts w:ascii="Arial Narrow" w:hAnsi="Arial Narrow"/>
                      <w:b/>
                      <w:bCs/>
                      <w:color w:val="FFFFFF"/>
                      <w:sz w:val="28"/>
                    </w:rPr>
                  </w:pPr>
                </w:p>
                <w:p w:rsidR="00E33C69" w:rsidRDefault="00E33C69" w:rsidP="00C80363">
                  <w:pPr>
                    <w:rPr>
                      <w:rFonts w:ascii="Arial Narrow" w:hAnsi="Arial Narrow"/>
                      <w:b/>
                      <w:bCs/>
                      <w:color w:val="FFFFFF"/>
                      <w:sz w:val="28"/>
                    </w:rPr>
                  </w:pPr>
                </w:p>
              </w:txbxContent>
            </v:textbox>
          </v:shape>
        </w:pict>
      </w:r>
    </w:p>
    <w:p w:rsidR="00C80363" w:rsidRPr="00712DF4" w:rsidRDefault="00C80363" w:rsidP="00C80363"/>
    <w:p w:rsidR="00C80363" w:rsidRPr="00712DF4" w:rsidRDefault="00C80363" w:rsidP="00C80363"/>
    <w:p w:rsidR="00B642AB" w:rsidRDefault="00B642AB" w:rsidP="00B642AB">
      <w:pPr>
        <w:numPr>
          <w:ilvl w:val="0"/>
          <w:numId w:val="38"/>
        </w:numPr>
      </w:pPr>
      <w:r>
        <w:t>The exterior surface</w:t>
      </w:r>
      <w:r w:rsidR="004A0B6A">
        <w:t xml:space="preserve"> is to </w:t>
      </w:r>
      <w:r>
        <w:t xml:space="preserve">be cleaned of any gross visible debris/soil. </w:t>
      </w:r>
      <w:r w:rsidR="002133B7">
        <w:t>Particular care should be paid to the adjustment knob and the mode selection knob</w:t>
      </w:r>
      <w:r w:rsidR="00780DE7">
        <w:t xml:space="preserve"> as these are the two most commonly touched surfaces by caregivers. </w:t>
      </w:r>
    </w:p>
    <w:p w:rsidR="00C80363" w:rsidRDefault="00C80363" w:rsidP="00B642AB">
      <w:pPr>
        <w:numPr>
          <w:ilvl w:val="0"/>
          <w:numId w:val="38"/>
        </w:numPr>
      </w:pPr>
      <w:r w:rsidRPr="00E70C9F">
        <w:t xml:space="preserve">Wipe all exterior surfaces of the </w:t>
      </w:r>
      <w:r>
        <w:t xml:space="preserve">suction </w:t>
      </w:r>
      <w:r w:rsidRPr="00E70C9F">
        <w:t xml:space="preserve">regulator with a surface disinfectant per manufacturer’s instructions. </w:t>
      </w:r>
      <w:r w:rsidR="002F7563">
        <w:t xml:space="preserve">Suitable </w:t>
      </w:r>
      <w:r w:rsidR="004A0B6A">
        <w:t>h</w:t>
      </w:r>
      <w:r w:rsidR="002F7563">
        <w:t xml:space="preserve">ard </w:t>
      </w:r>
      <w:r w:rsidR="004A0B6A">
        <w:t>s</w:t>
      </w:r>
      <w:r w:rsidR="002F7563">
        <w:t xml:space="preserve">urface </w:t>
      </w:r>
      <w:r w:rsidR="004A0B6A">
        <w:t>d</w:t>
      </w:r>
      <w:r w:rsidR="002F7563">
        <w:t>isin</w:t>
      </w:r>
      <w:r w:rsidRPr="00E70C9F">
        <w:t>fectants are:</w:t>
      </w:r>
    </w:p>
    <w:p w:rsidR="00780DE7" w:rsidRDefault="00780DE7" w:rsidP="00780DE7">
      <w:pPr>
        <w:ind w:left="1080"/>
      </w:pPr>
    </w:p>
    <w:tbl>
      <w:tblPr>
        <w:tblStyle w:val="TableGrid"/>
        <w:tblW w:w="7470" w:type="dxa"/>
        <w:tblInd w:w="1458" w:type="dxa"/>
        <w:tblLook w:val="04A0" w:firstRow="1" w:lastRow="0" w:firstColumn="1" w:lastColumn="0" w:noHBand="0" w:noVBand="1"/>
      </w:tblPr>
      <w:tblGrid>
        <w:gridCol w:w="3060"/>
        <w:gridCol w:w="4410"/>
      </w:tblGrid>
      <w:tr w:rsidR="0011350A" w:rsidTr="00CF0F8A">
        <w:tc>
          <w:tcPr>
            <w:tcW w:w="3060" w:type="dxa"/>
          </w:tcPr>
          <w:p w:rsidR="0011350A" w:rsidRPr="00780DE7" w:rsidRDefault="0011350A" w:rsidP="0011350A">
            <w:pPr>
              <w:rPr>
                <w:b/>
                <w:smallCaps/>
              </w:rPr>
            </w:pPr>
            <w:r w:rsidRPr="00780DE7">
              <w:rPr>
                <w:b/>
                <w:smallCaps/>
              </w:rPr>
              <w:t>Ethyl Alcohol-based</w:t>
            </w:r>
          </w:p>
        </w:tc>
        <w:tc>
          <w:tcPr>
            <w:tcW w:w="4410" w:type="dxa"/>
          </w:tcPr>
          <w:p w:rsidR="0011350A" w:rsidRDefault="0011350A" w:rsidP="0011350A">
            <w:r>
              <w:t>60</w:t>
            </w:r>
            <w:r w:rsidR="00C91537">
              <w:t>%</w:t>
            </w:r>
            <w:r>
              <w:t>-</w:t>
            </w:r>
            <w:r w:rsidR="00780DE7">
              <w:t>90% Concentration</w:t>
            </w:r>
          </w:p>
          <w:p w:rsidR="00780DE7" w:rsidRDefault="00780DE7" w:rsidP="0011350A"/>
        </w:tc>
      </w:tr>
      <w:tr w:rsidR="0011350A" w:rsidTr="00CF0F8A">
        <w:tc>
          <w:tcPr>
            <w:tcW w:w="3060" w:type="dxa"/>
          </w:tcPr>
          <w:p w:rsidR="0011350A" w:rsidRPr="00780DE7" w:rsidRDefault="00780DE7" w:rsidP="0011350A">
            <w:pPr>
              <w:rPr>
                <w:b/>
                <w:smallCaps/>
              </w:rPr>
            </w:pPr>
            <w:r w:rsidRPr="00780DE7">
              <w:rPr>
                <w:b/>
                <w:smallCaps/>
              </w:rPr>
              <w:t>Chlorine Based</w:t>
            </w:r>
          </w:p>
        </w:tc>
        <w:tc>
          <w:tcPr>
            <w:tcW w:w="4410" w:type="dxa"/>
          </w:tcPr>
          <w:p w:rsidR="00780DE7" w:rsidRDefault="00780DE7" w:rsidP="0011350A">
            <w:r>
              <w:t>a</w:t>
            </w:r>
            <w:r w:rsidRPr="00A97DC4">
              <w:t xml:space="preserve"> 1:10–1:100 dilution of 5.25%–6.15% sodium hypochlorite (i.e., household bleach)</w:t>
            </w:r>
            <w:r>
              <w:t xml:space="preserve">. </w:t>
            </w:r>
          </w:p>
          <w:p w:rsidR="004A0B6A" w:rsidRDefault="004A0B6A" w:rsidP="0011350A">
            <w:r>
              <w:t xml:space="preserve">(mix or use manufacturer-prepared </w:t>
            </w:r>
            <w:r w:rsidR="00E72361">
              <w:t>chlorine</w:t>
            </w:r>
            <w:r>
              <w:t xml:space="preserve"> based solutions or manufacturer-prepared wipes)</w:t>
            </w:r>
          </w:p>
          <w:p w:rsidR="0011350A" w:rsidRPr="00780DE7" w:rsidRDefault="00780DE7" w:rsidP="0011350A">
            <w:pPr>
              <w:rPr>
                <w:b/>
              </w:rPr>
            </w:pPr>
            <w:r w:rsidRPr="00780DE7">
              <w:rPr>
                <w:b/>
              </w:rPr>
              <w:t xml:space="preserve">Never use undiluted bleach on these instruments. </w:t>
            </w:r>
          </w:p>
          <w:p w:rsidR="00780DE7" w:rsidRDefault="00780DE7" w:rsidP="0011350A"/>
        </w:tc>
      </w:tr>
      <w:tr w:rsidR="0011350A" w:rsidTr="00CF0F8A">
        <w:tc>
          <w:tcPr>
            <w:tcW w:w="3060" w:type="dxa"/>
          </w:tcPr>
          <w:p w:rsidR="0011350A" w:rsidRPr="00780DE7" w:rsidRDefault="00780DE7" w:rsidP="0011350A">
            <w:pPr>
              <w:rPr>
                <w:b/>
                <w:smallCaps/>
              </w:rPr>
            </w:pPr>
            <w:r w:rsidRPr="00780DE7">
              <w:rPr>
                <w:b/>
                <w:smallCaps/>
              </w:rPr>
              <w:t>Iodophors</w:t>
            </w:r>
          </w:p>
        </w:tc>
        <w:tc>
          <w:tcPr>
            <w:tcW w:w="4410" w:type="dxa"/>
          </w:tcPr>
          <w:p w:rsidR="0011350A" w:rsidRDefault="00780DE7" w:rsidP="0011350A">
            <w:r>
              <w:t xml:space="preserve">Mix per </w:t>
            </w:r>
            <w:r w:rsidR="00B105D7">
              <w:t>manufacturer’s</w:t>
            </w:r>
            <w:r w:rsidR="004A0B6A">
              <w:t xml:space="preserve"> directions for use as a </w:t>
            </w:r>
            <w:r>
              <w:t>hard surface disinfectant.</w:t>
            </w:r>
          </w:p>
          <w:p w:rsidR="00780DE7" w:rsidRDefault="00780DE7" w:rsidP="0011350A"/>
        </w:tc>
      </w:tr>
      <w:tr w:rsidR="0011350A" w:rsidTr="00CF0F8A">
        <w:tc>
          <w:tcPr>
            <w:tcW w:w="3060" w:type="dxa"/>
          </w:tcPr>
          <w:p w:rsidR="0011350A" w:rsidRPr="00780DE7" w:rsidRDefault="00780DE7" w:rsidP="0011350A">
            <w:pPr>
              <w:rPr>
                <w:b/>
                <w:smallCaps/>
              </w:rPr>
            </w:pPr>
            <w:r w:rsidRPr="00780DE7">
              <w:rPr>
                <w:b/>
                <w:smallCaps/>
              </w:rPr>
              <w:t>Phenols</w:t>
            </w:r>
          </w:p>
        </w:tc>
        <w:tc>
          <w:tcPr>
            <w:tcW w:w="4410" w:type="dxa"/>
          </w:tcPr>
          <w:p w:rsidR="0011350A" w:rsidRDefault="00780DE7" w:rsidP="0011350A">
            <w:r>
              <w:t xml:space="preserve">Mix </w:t>
            </w:r>
            <w:r w:rsidR="004A0B6A">
              <w:t xml:space="preserve">or use </w:t>
            </w:r>
            <w:r w:rsidR="00E72361">
              <w:t>manufacturer</w:t>
            </w:r>
            <w:r w:rsidR="004A0B6A">
              <w:t xml:space="preserve"> prepared wipes </w:t>
            </w:r>
            <w:r>
              <w:t>per manufacturer’s directions for use as a hard surface disinfectant</w:t>
            </w:r>
          </w:p>
          <w:p w:rsidR="00780DE7" w:rsidRDefault="00780DE7" w:rsidP="0011350A"/>
        </w:tc>
      </w:tr>
      <w:tr w:rsidR="0011350A" w:rsidTr="00CF0F8A">
        <w:tc>
          <w:tcPr>
            <w:tcW w:w="3060" w:type="dxa"/>
          </w:tcPr>
          <w:p w:rsidR="0011350A" w:rsidRPr="00780DE7" w:rsidRDefault="00780DE7" w:rsidP="0011350A">
            <w:pPr>
              <w:rPr>
                <w:b/>
                <w:smallCaps/>
              </w:rPr>
            </w:pPr>
            <w:r w:rsidRPr="00780DE7">
              <w:rPr>
                <w:b/>
                <w:smallCaps/>
              </w:rPr>
              <w:t>Quaternary Ammonium Compounds</w:t>
            </w:r>
          </w:p>
        </w:tc>
        <w:tc>
          <w:tcPr>
            <w:tcW w:w="4410" w:type="dxa"/>
          </w:tcPr>
          <w:p w:rsidR="0011350A" w:rsidRDefault="00780DE7" w:rsidP="0011350A">
            <w:r>
              <w:t xml:space="preserve">Mix </w:t>
            </w:r>
            <w:r w:rsidR="004A0B6A">
              <w:t xml:space="preserve">or use manufacturer-prepared wipes </w:t>
            </w:r>
            <w:r>
              <w:t>per manufacturer’s directions for use as a hard surface disinfectant.</w:t>
            </w:r>
          </w:p>
          <w:p w:rsidR="00780DE7" w:rsidRDefault="00780DE7" w:rsidP="0011350A"/>
        </w:tc>
      </w:tr>
    </w:tbl>
    <w:p w:rsidR="00CF0F8A" w:rsidRDefault="003C48AF" w:rsidP="0011350A">
      <w:r>
        <w:rPr>
          <w:noProof/>
        </w:rPr>
        <w:pict>
          <v:shape id="_x0000_s1209" type="#_x0000_t202" style="position:absolute;margin-left:199.5pt;margin-top:72.8pt;width:211.5pt;height:33pt;z-index:251701248;mso-position-horizontal-relative:text;mso-position-vertical-relative:text;mso-width-relative:margin;mso-height-relative:margin" filled="f" stroked="f" strokecolor="white [3212]">
            <v:textbox>
              <w:txbxContent>
                <w:p w:rsidR="00E33C69" w:rsidRPr="00780DE7" w:rsidRDefault="00E33C69" w:rsidP="00780DE7">
                  <w:pPr>
                    <w:rPr>
                      <w:b/>
                      <w:color w:val="E955D4"/>
                      <w:sz w:val="40"/>
                      <w:szCs w:val="40"/>
                    </w:rPr>
                  </w:pPr>
                  <w:r w:rsidRPr="00780DE7">
                    <w:rPr>
                      <w:b/>
                      <w:color w:val="E955D4"/>
                      <w:sz w:val="40"/>
                      <w:szCs w:val="40"/>
                    </w:rPr>
                    <w:t>Mode Selection Knob</w:t>
                  </w:r>
                </w:p>
              </w:txbxContent>
            </v:textbox>
          </v:shape>
        </w:pict>
      </w:r>
      <w:r>
        <w:rPr>
          <w:noProof/>
        </w:rPr>
        <w:pict>
          <v:shape id="_x0000_s1212" type="#_x0000_t202" style="position:absolute;margin-left:208.5pt;margin-top:109.55pt;width:211.5pt;height:34.45pt;z-index:251704320;mso-position-horizontal-relative:text;mso-position-vertical-relative:text;mso-width-relative:margin;mso-height-relative:margin" filled="f" stroked="f" strokecolor="white [3212]">
            <v:textbox>
              <w:txbxContent>
                <w:p w:rsidR="00E33C69" w:rsidRPr="00780DE7" w:rsidRDefault="00E33C69" w:rsidP="00780DE7">
                  <w:pPr>
                    <w:rPr>
                      <w:b/>
                      <w:color w:val="E955D4"/>
                      <w:sz w:val="40"/>
                      <w:szCs w:val="40"/>
                    </w:rPr>
                  </w:pPr>
                  <w:r>
                    <w:rPr>
                      <w:b/>
                      <w:color w:val="E955D4"/>
                      <w:sz w:val="40"/>
                      <w:szCs w:val="40"/>
                    </w:rPr>
                    <w:t>Adjustment Knob</w:t>
                  </w:r>
                </w:p>
              </w:txbxContent>
            </v:textbox>
          </v:shape>
        </w:pict>
      </w:r>
      <w:r>
        <w:rPr>
          <w:noProof/>
        </w:rPr>
        <w:pict>
          <v:shape id="_x0000_s1211" type="#_x0000_t32" style="position:absolute;margin-left:111.75pt;margin-top:91.55pt;width:87.75pt;height:14.25pt;flip:x;z-index:251703296;mso-position-horizontal-relative:text;mso-position-vertical-relative:text" o:connectortype="straight" strokecolor="#e955d4" strokeweight="4pt">
            <v:stroke endarrow="block"/>
          </v:shape>
        </w:pict>
      </w:r>
      <w:r>
        <w:rPr>
          <w:noProof/>
        </w:rPr>
        <w:pict>
          <v:shape id="_x0000_s1210" type="#_x0000_t32" style="position:absolute;margin-left:117pt;margin-top:128.3pt;width:87.75pt;height:14.25pt;flip:x;z-index:251702272;mso-position-horizontal-relative:text;mso-position-vertical-relative:text" o:connectortype="straight" strokecolor="#e955d4" strokeweight="4pt">
            <v:stroke endarrow="block"/>
          </v:shape>
        </w:pict>
      </w:r>
      <w:r w:rsidR="00780DE7" w:rsidRPr="00780DE7">
        <w:rPr>
          <w:noProof/>
        </w:rPr>
        <w:drawing>
          <wp:inline distT="0" distB="0" distL="0" distR="0">
            <wp:extent cx="1825625" cy="2738438"/>
            <wp:effectExtent l="19050" t="0" r="3175" b="0"/>
            <wp:docPr id="19" name="Picture 7" descr="H:\Engineering\Kevin Klocek\Marketing Master Images\2011-03\blue background\3804-9100 3-4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ngineering\Kevin Klocek\Marketing Master Images\2011-03\blue background\3804-9100 3-4 view.jpg"/>
                    <pic:cNvPicPr>
                      <a:picLocks noChangeAspect="1" noChangeArrowheads="1"/>
                    </pic:cNvPicPr>
                  </pic:nvPicPr>
                  <pic:blipFill>
                    <a:blip r:embed="rId14" cstate="print"/>
                    <a:srcRect/>
                    <a:stretch>
                      <a:fillRect/>
                    </a:stretch>
                  </pic:blipFill>
                  <pic:spPr bwMode="auto">
                    <a:xfrm>
                      <a:off x="0" y="0"/>
                      <a:ext cx="1828342" cy="2742513"/>
                    </a:xfrm>
                    <a:prstGeom prst="rect">
                      <a:avLst/>
                    </a:prstGeom>
                    <a:noFill/>
                    <a:ln w="9525">
                      <a:noFill/>
                      <a:miter lim="800000"/>
                      <a:headEnd/>
                      <a:tailEnd/>
                    </a:ln>
                    <a:effectLst>
                      <a:softEdge rad="127000"/>
                    </a:effectLst>
                  </pic:spPr>
                </pic:pic>
              </a:graphicData>
            </a:graphic>
          </wp:inline>
        </w:drawing>
      </w:r>
    </w:p>
    <w:p w:rsidR="00CF0F8A" w:rsidRDefault="00CF0F8A">
      <w:r>
        <w:br w:type="page"/>
      </w:r>
    </w:p>
    <w:p w:rsidR="00780DE7" w:rsidRDefault="00780DE7" w:rsidP="0011350A"/>
    <w:p w:rsidR="0019448C" w:rsidRPr="00712DF4" w:rsidRDefault="003C48AF">
      <w:pPr>
        <w:pStyle w:val="Footer"/>
        <w:tabs>
          <w:tab w:val="clear" w:pos="4320"/>
          <w:tab w:val="clear" w:pos="8640"/>
        </w:tabs>
        <w:rPr>
          <w:rFonts w:ascii="Times New Roman" w:hAnsi="Times New Roman"/>
          <w:szCs w:val="24"/>
        </w:rPr>
      </w:pPr>
      <w:r>
        <w:rPr>
          <w:rFonts w:ascii="Times New Roman" w:hAnsi="Times New Roman"/>
          <w:noProof/>
          <w:szCs w:val="24"/>
        </w:rPr>
        <w:pict>
          <v:shape id="_x0000_s1165" type="#_x0000_t202" style="position:absolute;margin-left:-.9pt;margin-top:0;width:486pt;height:45pt;z-index:251661312" stroked="f">
            <v:fill color2="#969696" angle="-90" type="gradient"/>
            <v:textbox style="mso-next-textbox:#_x0000_s1165" inset=",10.8pt">
              <w:txbxContent>
                <w:p w:rsidR="00E33C69" w:rsidRDefault="00E33C69" w:rsidP="00AA269E">
                  <w:pPr>
                    <w:ind w:left="720" w:hanging="720"/>
                    <w:rPr>
                      <w:rFonts w:ascii="Arial Narrow" w:hAnsi="Arial Narrow" w:cs="Arial"/>
                      <w:b/>
                      <w:sz w:val="48"/>
                    </w:rPr>
                  </w:pPr>
                  <w:r>
                    <w:rPr>
                      <w:rFonts w:cs="Arial"/>
                      <w:b/>
                      <w:i/>
                      <w:iCs/>
                      <w:color w:val="FFFFFF"/>
                      <w:sz w:val="72"/>
                    </w:rPr>
                    <w:tab/>
                  </w:r>
                  <w:r>
                    <w:rPr>
                      <w:rFonts w:ascii="Arial Narrow" w:hAnsi="Arial Narrow" w:cs="Arial"/>
                      <w:b/>
                      <w:sz w:val="48"/>
                    </w:rPr>
                    <w:t>Reprocessing Instructions</w:t>
                  </w:r>
                </w:p>
              </w:txbxContent>
            </v:textbox>
          </v:shape>
        </w:pict>
      </w:r>
    </w:p>
    <w:p w:rsidR="00543B44" w:rsidRPr="00712DF4" w:rsidRDefault="00543B44">
      <w:pPr>
        <w:ind w:left="-270"/>
        <w:jc w:val="center"/>
      </w:pPr>
    </w:p>
    <w:p w:rsidR="00F17CBC" w:rsidRPr="00712DF4" w:rsidRDefault="00F17CBC">
      <w:pPr>
        <w:ind w:left="-270"/>
        <w:jc w:val="center"/>
      </w:pPr>
    </w:p>
    <w:p w:rsidR="00F17CBC" w:rsidRPr="00712DF4" w:rsidRDefault="00F17CBC">
      <w:pPr>
        <w:ind w:left="-270"/>
        <w:jc w:val="center"/>
      </w:pPr>
    </w:p>
    <w:p w:rsidR="003E2EB7" w:rsidRPr="00712DF4" w:rsidRDefault="003C48AF" w:rsidP="003E2EB7">
      <w:r>
        <w:rPr>
          <w:noProof/>
        </w:rPr>
        <w:pict>
          <v:shape id="_x0000_s1167" type="#_x0000_t202" style="position:absolute;margin-left:.85pt;margin-top:3.95pt;width:210.65pt;height:27pt;z-index:251663360" fillcolor="black">
            <v:textbox style="mso-next-textbox:#_x0000_s1167">
              <w:txbxContent>
                <w:p w:rsidR="00E33C69" w:rsidRDefault="00E33C69" w:rsidP="003E2EB7">
                  <w:pPr>
                    <w:jc w:val="both"/>
                    <w:rPr>
                      <w:rFonts w:ascii="Arial Narrow" w:hAnsi="Arial Narrow"/>
                      <w:b/>
                      <w:bCs/>
                      <w:caps/>
                      <w:color w:val="FFFFFF"/>
                      <w:sz w:val="28"/>
                    </w:rPr>
                  </w:pPr>
                  <w:r>
                    <w:rPr>
                      <w:rFonts w:ascii="Arial Narrow" w:hAnsi="Arial Narrow"/>
                      <w:b/>
                      <w:bCs/>
                      <w:caps/>
                      <w:color w:val="FFFFFF"/>
                      <w:sz w:val="28"/>
                    </w:rPr>
                    <w:t>1. Transport</w:t>
                  </w:r>
                </w:p>
                <w:p w:rsidR="00E33C69" w:rsidRDefault="00E33C69" w:rsidP="003E2EB7">
                  <w:pPr>
                    <w:rPr>
                      <w:rFonts w:ascii="Arial Narrow" w:hAnsi="Arial Narrow"/>
                      <w:b/>
                      <w:bCs/>
                      <w:color w:val="FFFFFF"/>
                      <w:sz w:val="28"/>
                    </w:rPr>
                  </w:pPr>
                </w:p>
                <w:p w:rsidR="00E33C69" w:rsidRDefault="00E33C69" w:rsidP="003E2EB7">
                  <w:pPr>
                    <w:rPr>
                      <w:rFonts w:ascii="Arial Narrow" w:hAnsi="Arial Narrow"/>
                      <w:b/>
                      <w:bCs/>
                      <w:color w:val="FFFFFF"/>
                      <w:sz w:val="28"/>
                    </w:rPr>
                  </w:pPr>
                </w:p>
              </w:txbxContent>
            </v:textbox>
          </v:shape>
        </w:pict>
      </w:r>
    </w:p>
    <w:p w:rsidR="003E2EB7" w:rsidRPr="00712DF4" w:rsidRDefault="003E2EB7" w:rsidP="003E2EB7"/>
    <w:p w:rsidR="003E2EB7" w:rsidRPr="00712DF4" w:rsidRDefault="003E2EB7" w:rsidP="003E2EB7"/>
    <w:p w:rsidR="006438E5" w:rsidRDefault="006438E5" w:rsidP="006438E5">
      <w:pPr>
        <w:numPr>
          <w:ilvl w:val="0"/>
          <w:numId w:val="21"/>
        </w:numPr>
        <w:ind w:left="720"/>
      </w:pPr>
      <w:r>
        <w:t xml:space="preserve">Suction </w:t>
      </w:r>
      <w:r w:rsidR="004A0B6A">
        <w:t>r</w:t>
      </w:r>
      <w:r>
        <w:t>egulators should be sent for processing as soon as possible if gross contamination is evident.</w:t>
      </w:r>
    </w:p>
    <w:p w:rsidR="00336CE9" w:rsidRDefault="002133B7" w:rsidP="00E70C9F">
      <w:pPr>
        <w:numPr>
          <w:ilvl w:val="0"/>
          <w:numId w:val="21"/>
        </w:numPr>
        <w:ind w:left="720"/>
      </w:pPr>
      <w:r>
        <w:t>S</w:t>
      </w:r>
      <w:r w:rsidR="00336CE9" w:rsidRPr="00E70C9F">
        <w:t xml:space="preserve">oiled and potentially contaminated </w:t>
      </w:r>
      <w:r w:rsidR="00E224DA">
        <w:t>suction regulators</w:t>
      </w:r>
      <w:r w:rsidR="00336CE9" w:rsidRPr="00E70C9F">
        <w:t xml:space="preserve"> should be</w:t>
      </w:r>
      <w:r w:rsidR="00151F7F">
        <w:t xml:space="preserve"> removed from service and </w:t>
      </w:r>
      <w:r w:rsidR="00336CE9" w:rsidRPr="00E70C9F">
        <w:t>transported separate from non-contaminate</w:t>
      </w:r>
      <w:r w:rsidR="00D57741">
        <w:t>d devices,</w:t>
      </w:r>
      <w:r w:rsidR="00274E73">
        <w:t xml:space="preserve"> in a container that minimizes the potential to spread contamination</w:t>
      </w:r>
      <w:r w:rsidR="00EC7DBB">
        <w:t>.</w:t>
      </w:r>
      <w:r w:rsidR="006438E5">
        <w:t xml:space="preserve"> Suction regulators should be transported in an upright orientation. </w:t>
      </w:r>
    </w:p>
    <w:p w:rsidR="0053436A" w:rsidRDefault="003C48AF" w:rsidP="0053436A">
      <w:r>
        <w:rPr>
          <w:noProof/>
        </w:rPr>
        <w:pict>
          <v:shape id="_x0000_s1202" type="#_x0000_t202" style="position:absolute;margin-left:.85pt;margin-top:4.3pt;width:111.05pt;height:28.55pt;z-index:251695104" fillcolor="black">
            <v:textbox style="mso-next-textbox:#_x0000_s1202">
              <w:txbxContent>
                <w:p w:rsidR="00E33C69" w:rsidRDefault="00E33C69" w:rsidP="0053436A">
                  <w:pPr>
                    <w:jc w:val="both"/>
                    <w:rPr>
                      <w:rFonts w:ascii="Arial Narrow" w:hAnsi="Arial Narrow"/>
                      <w:b/>
                      <w:bCs/>
                      <w:color w:val="FFFFFF"/>
                      <w:sz w:val="28"/>
                    </w:rPr>
                  </w:pPr>
                  <w:r>
                    <w:rPr>
                      <w:rFonts w:ascii="Arial Narrow" w:hAnsi="Arial Narrow"/>
                      <w:b/>
                      <w:bCs/>
                      <w:caps/>
                      <w:color w:val="FFFFFF"/>
                      <w:sz w:val="28"/>
                    </w:rPr>
                    <w:t>2. cleaning</w:t>
                  </w:r>
                </w:p>
              </w:txbxContent>
            </v:textbox>
          </v:shape>
        </w:pict>
      </w:r>
    </w:p>
    <w:p w:rsidR="0053436A" w:rsidRDefault="0053436A" w:rsidP="0053436A">
      <w:pPr>
        <w:numPr>
          <w:ilvl w:val="1"/>
          <w:numId w:val="21"/>
        </w:numPr>
        <w:ind w:left="360"/>
      </w:pPr>
    </w:p>
    <w:p w:rsidR="0053436A" w:rsidRDefault="0053436A" w:rsidP="0053436A"/>
    <w:p w:rsidR="004A0B6A" w:rsidRDefault="004A0B6A" w:rsidP="004A0B6A">
      <w:pPr>
        <w:ind w:left="360"/>
      </w:pPr>
      <w:r>
        <w:t>If there is evidence of gross contamination the following procedures must be followed:</w:t>
      </w:r>
    </w:p>
    <w:p w:rsidR="001823AB" w:rsidRDefault="0011350A" w:rsidP="001823AB">
      <w:pPr>
        <w:numPr>
          <w:ilvl w:val="1"/>
          <w:numId w:val="21"/>
        </w:numPr>
        <w:ind w:left="360"/>
      </w:pPr>
      <w:r>
        <w:t xml:space="preserve">Disassemble the unit </w:t>
      </w:r>
      <w:r w:rsidR="001823AB" w:rsidRPr="00BB11CF">
        <w:t xml:space="preserve">(refer to the device’s user manual for detailed instruction on </w:t>
      </w:r>
      <w:r w:rsidR="001823AB">
        <w:t>disassembling the suction regulator</w:t>
      </w:r>
      <w:r w:rsidR="001823AB" w:rsidRPr="00FE56B5">
        <w:rPr>
          <w:sz w:val="20"/>
        </w:rPr>
        <w:t>)</w:t>
      </w:r>
      <w:r w:rsidR="001823AB" w:rsidRPr="00BB11CF">
        <w:t>.</w:t>
      </w:r>
      <w:r>
        <w:t xml:space="preserve"> The instructions are available on our website  </w:t>
      </w:r>
      <w:hyperlink r:id="rId15" w:history="1">
        <w:r w:rsidRPr="00F90F41">
          <w:rPr>
            <w:rStyle w:val="Hyperlink"/>
          </w:rPr>
          <w:t>www.boehringerlabs.com</w:t>
        </w:r>
      </w:hyperlink>
      <w:r>
        <w:t>. =</w:t>
      </w:r>
    </w:p>
    <w:p w:rsidR="001823AB" w:rsidRPr="00CB46E7" w:rsidRDefault="001823AB" w:rsidP="001823AB">
      <w:pPr>
        <w:numPr>
          <w:ilvl w:val="1"/>
          <w:numId w:val="21"/>
        </w:numPr>
        <w:ind w:left="360"/>
        <w:rPr>
          <w:sz w:val="20"/>
        </w:rPr>
      </w:pPr>
      <w:r>
        <w:t>After the suction regulator is fully disassembled, all regulator components should soak for a minimum of 10 minutes in a solution of warm water and pH neutral detergent such as MetriZy</w:t>
      </w:r>
      <w:r w:rsidR="004A0B6A">
        <w:t>m</w:t>
      </w:r>
      <w:r>
        <w:t>e</w:t>
      </w:r>
      <w:r w:rsidRPr="00CB46E7">
        <w:rPr>
          <w:vertAlign w:val="superscript"/>
        </w:rPr>
        <w:t>®</w:t>
      </w:r>
      <w:r>
        <w:t>. Refer to the detergent manufacturer’s instructions for concentration recommendation.</w:t>
      </w:r>
    </w:p>
    <w:p w:rsidR="001823AB" w:rsidRPr="00053F4D" w:rsidRDefault="001823AB" w:rsidP="001823AB">
      <w:pPr>
        <w:numPr>
          <w:ilvl w:val="1"/>
          <w:numId w:val="21"/>
        </w:numPr>
        <w:ind w:left="360"/>
        <w:rPr>
          <w:sz w:val="20"/>
        </w:rPr>
      </w:pPr>
      <w:r>
        <w:t>After soaking, thoroughly rinse components with warm tap water.</w:t>
      </w:r>
    </w:p>
    <w:p w:rsidR="001823AB" w:rsidRPr="00053F4D" w:rsidRDefault="001823AB" w:rsidP="001823AB">
      <w:pPr>
        <w:numPr>
          <w:ilvl w:val="1"/>
          <w:numId w:val="21"/>
        </w:numPr>
        <w:ind w:left="360"/>
        <w:rPr>
          <w:sz w:val="20"/>
        </w:rPr>
      </w:pPr>
      <w:r>
        <w:t>Regulator components should be placed in a fresh solution of warm tap water and pH neutral detergent such as MetriZy</w:t>
      </w:r>
      <w:r w:rsidR="004A0B6A">
        <w:t>m</w:t>
      </w:r>
      <w:r>
        <w:t>e</w:t>
      </w:r>
      <w:r w:rsidRPr="000A503D">
        <w:rPr>
          <w:vertAlign w:val="superscript"/>
        </w:rPr>
        <w:t>®</w:t>
      </w:r>
      <w:r>
        <w:t xml:space="preserve"> and scrubbed with a soft bristle brush to remove deposits</w:t>
      </w:r>
      <w:r w:rsidRPr="00BF1C72">
        <w:t xml:space="preserve">. </w:t>
      </w:r>
      <w:r>
        <w:t>Refer to the detergent manufacturer’s instructions for concentration recommendation.</w:t>
      </w:r>
    </w:p>
    <w:p w:rsidR="001823AB" w:rsidRPr="00BF1C72" w:rsidRDefault="001823AB" w:rsidP="001823AB">
      <w:pPr>
        <w:numPr>
          <w:ilvl w:val="1"/>
          <w:numId w:val="21"/>
        </w:numPr>
        <w:ind w:left="360"/>
      </w:pPr>
      <w:r w:rsidRPr="00BF1C72">
        <w:t>The components should then be removed from the solution and rin</w:t>
      </w:r>
      <w:r>
        <w:t>sed with warm tap water</w:t>
      </w:r>
      <w:r w:rsidRPr="00BF1C72">
        <w:t>.</w:t>
      </w:r>
    </w:p>
    <w:p w:rsidR="001823AB" w:rsidRDefault="001823AB" w:rsidP="001823AB">
      <w:pPr>
        <w:numPr>
          <w:ilvl w:val="1"/>
          <w:numId w:val="21"/>
        </w:numPr>
        <w:ind w:left="360"/>
      </w:pPr>
      <w:r>
        <w:t>Components should</w:t>
      </w:r>
      <w:r w:rsidRPr="00BF1C72">
        <w:t xml:space="preserve"> be p</w:t>
      </w:r>
      <w:r w:rsidR="00405722">
        <w:t xml:space="preserve">laced in an ultrasonic cleaner and </w:t>
      </w:r>
      <w:r w:rsidRPr="00BF1C72">
        <w:t xml:space="preserve">completely submerged for </w:t>
      </w:r>
      <w:r>
        <w:t xml:space="preserve">a minimum of </w:t>
      </w:r>
      <w:r w:rsidRPr="00BF1C72">
        <w:t>10 minutes.</w:t>
      </w:r>
    </w:p>
    <w:p w:rsidR="001823AB" w:rsidRDefault="001823AB" w:rsidP="001823AB">
      <w:pPr>
        <w:numPr>
          <w:ilvl w:val="1"/>
          <w:numId w:val="21"/>
        </w:numPr>
        <w:ind w:left="360"/>
      </w:pPr>
      <w:r>
        <w:t>Rinse components thoroughly with warm tap water.</w:t>
      </w:r>
    </w:p>
    <w:p w:rsidR="001823AB" w:rsidRDefault="001823AB" w:rsidP="001823AB">
      <w:pPr>
        <w:numPr>
          <w:ilvl w:val="1"/>
          <w:numId w:val="21"/>
        </w:numPr>
        <w:ind w:left="360"/>
      </w:pPr>
      <w:r>
        <w:t>Inspect regulator components for visible soil.  Repeat cleaning process again if visible soil is observed.</w:t>
      </w:r>
    </w:p>
    <w:p w:rsidR="001823AB" w:rsidRPr="00BF1C72" w:rsidRDefault="001823AB" w:rsidP="001823AB">
      <w:pPr>
        <w:numPr>
          <w:ilvl w:val="1"/>
          <w:numId w:val="21"/>
        </w:numPr>
        <w:ind w:left="360"/>
      </w:pPr>
      <w:r>
        <w:t>Ensure components are dry before reassembling the suction control.  If using an automatic dryer, ensure the temperature does not exceed 132°C (270°F).</w:t>
      </w:r>
    </w:p>
    <w:p w:rsidR="003E2EB7" w:rsidRPr="008C7E20" w:rsidRDefault="003C48AF" w:rsidP="003E2EB7">
      <w:pPr>
        <w:rPr>
          <w:sz w:val="20"/>
        </w:rPr>
      </w:pPr>
      <w:r>
        <w:rPr>
          <w:noProof/>
          <w:sz w:val="20"/>
        </w:rPr>
        <w:pict>
          <v:shape id="_x0000_s1169" type="#_x0000_t202" style="position:absolute;margin-left:3.7pt;margin-top:10.25pt;width:172.55pt;height:27pt;z-index:251665408" fillcolor="black">
            <v:textbox style="mso-next-textbox:#_x0000_s1169">
              <w:txbxContent>
                <w:p w:rsidR="00E33C69" w:rsidRDefault="00E33C69" w:rsidP="00930061">
                  <w:pPr>
                    <w:jc w:val="both"/>
                    <w:rPr>
                      <w:rFonts w:ascii="Arial Narrow" w:hAnsi="Arial Narrow"/>
                      <w:b/>
                      <w:bCs/>
                      <w:caps/>
                      <w:color w:val="FFFFFF"/>
                      <w:sz w:val="28"/>
                    </w:rPr>
                  </w:pPr>
                  <w:r>
                    <w:rPr>
                      <w:rFonts w:ascii="Arial Narrow" w:hAnsi="Arial Narrow"/>
                      <w:b/>
                      <w:bCs/>
                      <w:caps/>
                      <w:color w:val="FFFFFF"/>
                      <w:sz w:val="28"/>
                    </w:rPr>
                    <w:t>3. STEAM STERILIZATION</w:t>
                  </w:r>
                </w:p>
                <w:p w:rsidR="00E33C69" w:rsidRDefault="00E33C69" w:rsidP="00930061">
                  <w:pPr>
                    <w:rPr>
                      <w:rFonts w:ascii="Arial Narrow" w:hAnsi="Arial Narrow"/>
                      <w:b/>
                      <w:bCs/>
                      <w:color w:val="FFFFFF"/>
                      <w:sz w:val="28"/>
                    </w:rPr>
                  </w:pPr>
                </w:p>
                <w:p w:rsidR="00E33C69" w:rsidRDefault="00E33C69" w:rsidP="00930061">
                  <w:pPr>
                    <w:rPr>
                      <w:rFonts w:ascii="Arial Narrow" w:hAnsi="Arial Narrow"/>
                      <w:b/>
                      <w:bCs/>
                      <w:color w:val="FFFFFF"/>
                      <w:sz w:val="28"/>
                    </w:rPr>
                  </w:pPr>
                </w:p>
              </w:txbxContent>
            </v:textbox>
          </v:shape>
        </w:pict>
      </w:r>
    </w:p>
    <w:p w:rsidR="003E2EB7" w:rsidRPr="008C7E20" w:rsidRDefault="003E2EB7" w:rsidP="003E2EB7">
      <w:pPr>
        <w:rPr>
          <w:sz w:val="20"/>
        </w:rPr>
      </w:pPr>
    </w:p>
    <w:p w:rsidR="003E2EB7" w:rsidRDefault="003E2EB7" w:rsidP="00DC1AD7">
      <w:pPr>
        <w:rPr>
          <w:sz w:val="20"/>
        </w:rPr>
      </w:pPr>
    </w:p>
    <w:p w:rsidR="000A1CC5" w:rsidRDefault="000A1CC5" w:rsidP="000A1CC5">
      <w:pPr>
        <w:pStyle w:val="ListParagraph"/>
        <w:numPr>
          <w:ilvl w:val="0"/>
          <w:numId w:val="21"/>
        </w:numPr>
        <w:ind w:left="360"/>
      </w:pPr>
      <w:r>
        <w:t xml:space="preserve">Ensure all </w:t>
      </w:r>
      <w:r w:rsidR="00FE56B5">
        <w:t xml:space="preserve">suction </w:t>
      </w:r>
      <w:r>
        <w:t xml:space="preserve">regulators are properly assembled and the control knobs are turned to the </w:t>
      </w:r>
      <w:r w:rsidR="00EC7DBB">
        <w:t>REG</w:t>
      </w:r>
      <w:r>
        <w:t xml:space="preserve"> or CONT. mode.  </w:t>
      </w:r>
      <w:r w:rsidR="00053F4D">
        <w:t>Refer to each model’s instructions for use for guidance with proper assembly.</w:t>
      </w:r>
    </w:p>
    <w:p w:rsidR="006C1CEC" w:rsidRDefault="006C1CEC" w:rsidP="006C1CEC">
      <w:pPr>
        <w:pStyle w:val="ListParagraph"/>
        <w:numPr>
          <w:ilvl w:val="0"/>
          <w:numId w:val="21"/>
        </w:numPr>
        <w:ind w:left="360"/>
      </w:pPr>
      <w:r>
        <w:t>Ensure the adjustment knob is turned counterclockwise until it stops to keep the internal passageways as open as possible.</w:t>
      </w:r>
    </w:p>
    <w:p w:rsidR="00053F4D" w:rsidRDefault="00053F4D" w:rsidP="00053F4D">
      <w:pPr>
        <w:pStyle w:val="ListParagraph"/>
        <w:numPr>
          <w:ilvl w:val="0"/>
          <w:numId w:val="21"/>
        </w:numPr>
        <w:ind w:left="360"/>
      </w:pPr>
      <w:r>
        <w:t>Suction regulators can be packaged in a variety of ways for pro</w:t>
      </w:r>
      <w:r w:rsidR="00FE56B5">
        <w:t>cessing including a peel pouch, sterilization wrappers or instrument tray.</w:t>
      </w:r>
    </w:p>
    <w:p w:rsidR="005C3264" w:rsidRDefault="005C3264" w:rsidP="005C3264">
      <w:pPr>
        <w:pStyle w:val="ListParagraph"/>
        <w:numPr>
          <w:ilvl w:val="0"/>
          <w:numId w:val="21"/>
        </w:numPr>
        <w:ind w:left="360"/>
      </w:pPr>
      <w:r w:rsidRPr="005C3264">
        <w:t>The following are recommendations for sterilizing Boehringer Suction Controls</w:t>
      </w:r>
    </w:p>
    <w:p w:rsidR="005C3264" w:rsidRPr="005C3264" w:rsidRDefault="005C3264" w:rsidP="005C3264">
      <w:pPr>
        <w:pStyle w:val="ListParagraph"/>
        <w:ind w:left="360"/>
      </w:pPr>
    </w:p>
    <w:tbl>
      <w:tblPr>
        <w:tblStyle w:val="TableGrid"/>
        <w:tblW w:w="0" w:type="auto"/>
        <w:jc w:val="center"/>
        <w:tblLook w:val="04A0" w:firstRow="1" w:lastRow="0" w:firstColumn="1" w:lastColumn="0" w:noHBand="0" w:noVBand="1"/>
      </w:tblPr>
      <w:tblGrid>
        <w:gridCol w:w="2657"/>
        <w:gridCol w:w="2669"/>
        <w:gridCol w:w="2676"/>
        <w:gridCol w:w="2654"/>
      </w:tblGrid>
      <w:tr w:rsidR="00201163" w:rsidTr="003B789C">
        <w:trPr>
          <w:jc w:val="center"/>
        </w:trPr>
        <w:tc>
          <w:tcPr>
            <w:tcW w:w="2657" w:type="dxa"/>
          </w:tcPr>
          <w:p w:rsidR="00201163" w:rsidRPr="00201163" w:rsidRDefault="00201163" w:rsidP="00201163">
            <w:pPr>
              <w:jc w:val="center"/>
              <w:rPr>
                <w:b/>
              </w:rPr>
            </w:pPr>
            <w:r w:rsidRPr="00201163">
              <w:rPr>
                <w:b/>
              </w:rPr>
              <w:t>Cycle Type</w:t>
            </w:r>
          </w:p>
        </w:tc>
        <w:tc>
          <w:tcPr>
            <w:tcW w:w="2669" w:type="dxa"/>
          </w:tcPr>
          <w:p w:rsidR="00201163" w:rsidRPr="00201163" w:rsidRDefault="00201163" w:rsidP="00201163">
            <w:pPr>
              <w:jc w:val="center"/>
              <w:rPr>
                <w:b/>
              </w:rPr>
            </w:pPr>
            <w:r w:rsidRPr="00201163">
              <w:rPr>
                <w:b/>
              </w:rPr>
              <w:t>Minimum Sterilization Exposure Time (min)</w:t>
            </w:r>
          </w:p>
        </w:tc>
        <w:tc>
          <w:tcPr>
            <w:tcW w:w="2676" w:type="dxa"/>
          </w:tcPr>
          <w:p w:rsidR="00201163" w:rsidRPr="00201163" w:rsidRDefault="00201163" w:rsidP="00201163">
            <w:pPr>
              <w:jc w:val="center"/>
              <w:rPr>
                <w:b/>
              </w:rPr>
            </w:pPr>
            <w:r w:rsidRPr="00201163">
              <w:rPr>
                <w:b/>
              </w:rPr>
              <w:t>Minimum Sterilization Exposure Temperature</w:t>
            </w:r>
          </w:p>
        </w:tc>
        <w:tc>
          <w:tcPr>
            <w:tcW w:w="2654" w:type="dxa"/>
          </w:tcPr>
          <w:p w:rsidR="00201163" w:rsidRPr="00201163" w:rsidRDefault="00201163" w:rsidP="00201163">
            <w:pPr>
              <w:jc w:val="center"/>
              <w:rPr>
                <w:b/>
              </w:rPr>
            </w:pPr>
            <w:r w:rsidRPr="00201163">
              <w:rPr>
                <w:b/>
              </w:rPr>
              <w:t>Minimum Dry Time</w:t>
            </w:r>
            <w:r w:rsidR="00134022">
              <w:rPr>
                <w:b/>
              </w:rPr>
              <w:t>*</w:t>
            </w:r>
          </w:p>
        </w:tc>
      </w:tr>
      <w:tr w:rsidR="00201163" w:rsidTr="003B789C">
        <w:trPr>
          <w:jc w:val="center"/>
        </w:trPr>
        <w:tc>
          <w:tcPr>
            <w:tcW w:w="2657" w:type="dxa"/>
          </w:tcPr>
          <w:p w:rsidR="00201163" w:rsidRDefault="003B789C" w:rsidP="003B789C">
            <w:pPr>
              <w:jc w:val="center"/>
            </w:pPr>
            <w:r>
              <w:t>Pre</w:t>
            </w:r>
            <w:r w:rsidR="004A0B6A">
              <w:t>-</w:t>
            </w:r>
            <w:r>
              <w:t>vacuum</w:t>
            </w:r>
          </w:p>
        </w:tc>
        <w:tc>
          <w:tcPr>
            <w:tcW w:w="2669" w:type="dxa"/>
          </w:tcPr>
          <w:p w:rsidR="00201163" w:rsidRDefault="003B789C" w:rsidP="003B789C">
            <w:pPr>
              <w:jc w:val="center"/>
            </w:pPr>
            <w:r>
              <w:t>4</w:t>
            </w:r>
          </w:p>
        </w:tc>
        <w:tc>
          <w:tcPr>
            <w:tcW w:w="2676" w:type="dxa"/>
          </w:tcPr>
          <w:p w:rsidR="00201163" w:rsidRDefault="003B789C" w:rsidP="003B789C">
            <w:pPr>
              <w:jc w:val="center"/>
            </w:pPr>
            <w:r>
              <w:t>132° C (270°F)</w:t>
            </w:r>
          </w:p>
        </w:tc>
        <w:tc>
          <w:tcPr>
            <w:tcW w:w="2654" w:type="dxa"/>
          </w:tcPr>
          <w:p w:rsidR="00201163" w:rsidRDefault="00EC7DBB" w:rsidP="003B789C">
            <w:pPr>
              <w:jc w:val="center"/>
            </w:pPr>
            <w:r>
              <w:t>1</w:t>
            </w:r>
            <w:r w:rsidR="00563A0D">
              <w:t>0 Minutes</w:t>
            </w:r>
          </w:p>
        </w:tc>
      </w:tr>
    </w:tbl>
    <w:p w:rsidR="00201163" w:rsidRDefault="00201163" w:rsidP="00201163">
      <w:pPr>
        <w:ind w:left="360"/>
      </w:pPr>
    </w:p>
    <w:p w:rsidR="00DC1AD7" w:rsidRDefault="00134022" w:rsidP="00D66BD3">
      <w:pPr>
        <w:ind w:left="360"/>
      </w:pPr>
      <w:r>
        <w:t>*D</w:t>
      </w:r>
      <w:r w:rsidR="00D66BD3">
        <w:t>ry times will vary depending upon a number of factors including pac</w:t>
      </w:r>
      <w:r w:rsidR="00434948">
        <w:t xml:space="preserve">kaging materials, environmental </w:t>
      </w:r>
      <w:r w:rsidR="00D66BD3">
        <w:t>conditions, steam quality, regulator mass and sterilizer specification (cool down time and performance).  The processor should visually inspect the regulator for signs of moisture.</w:t>
      </w:r>
    </w:p>
    <w:p w:rsidR="00434948" w:rsidRPr="00BF1C72" w:rsidRDefault="00434948" w:rsidP="00434948">
      <w:pPr>
        <w:pStyle w:val="ListParagraph"/>
        <w:ind w:left="360"/>
      </w:pPr>
    </w:p>
    <w:p w:rsidR="00DC1AD7" w:rsidRPr="00BF1C72" w:rsidRDefault="003C48AF" w:rsidP="00C424C0">
      <w:pPr>
        <w:ind w:left="720"/>
      </w:pPr>
      <w:r>
        <w:rPr>
          <w:noProof/>
        </w:rPr>
        <w:lastRenderedPageBreak/>
        <w:pict>
          <v:shape id="_x0000_s1191" type="#_x0000_t202" style="position:absolute;left:0;text-align:left;margin-left:3.7pt;margin-top:-.3pt;width:248.3pt;height:27pt;z-index:251683840" fillcolor="black">
            <v:textbox style="mso-next-textbox:#_x0000_s1191">
              <w:txbxContent>
                <w:p w:rsidR="00E33C69" w:rsidRDefault="00E33C69" w:rsidP="000A1CC5">
                  <w:pPr>
                    <w:jc w:val="both"/>
                    <w:rPr>
                      <w:rFonts w:ascii="Arial Narrow" w:hAnsi="Arial Narrow"/>
                      <w:b/>
                      <w:bCs/>
                      <w:caps/>
                      <w:color w:val="FFFFFF"/>
                      <w:sz w:val="28"/>
                    </w:rPr>
                  </w:pPr>
                  <w:r>
                    <w:rPr>
                      <w:rFonts w:ascii="Arial Narrow" w:hAnsi="Arial Narrow"/>
                      <w:b/>
                      <w:bCs/>
                      <w:caps/>
                      <w:color w:val="FFFFFF"/>
                      <w:sz w:val="28"/>
                    </w:rPr>
                    <w:t>4. Verification of Performance</w:t>
                  </w:r>
                </w:p>
                <w:p w:rsidR="00E33C69" w:rsidRDefault="00E33C69" w:rsidP="000A1CC5">
                  <w:pPr>
                    <w:rPr>
                      <w:rFonts w:ascii="Arial Narrow" w:hAnsi="Arial Narrow"/>
                      <w:b/>
                      <w:bCs/>
                      <w:color w:val="FFFFFF"/>
                      <w:sz w:val="28"/>
                    </w:rPr>
                  </w:pPr>
                </w:p>
                <w:p w:rsidR="00E33C69" w:rsidRDefault="00E33C69" w:rsidP="000A1CC5">
                  <w:pPr>
                    <w:rPr>
                      <w:rFonts w:ascii="Arial Narrow" w:hAnsi="Arial Narrow"/>
                      <w:b/>
                      <w:bCs/>
                      <w:color w:val="FFFFFF"/>
                      <w:sz w:val="28"/>
                    </w:rPr>
                  </w:pPr>
                </w:p>
              </w:txbxContent>
            </v:textbox>
          </v:shape>
        </w:pict>
      </w:r>
    </w:p>
    <w:p w:rsidR="00543B44" w:rsidRDefault="00543B44">
      <w:pPr>
        <w:ind w:left="-270"/>
        <w:jc w:val="center"/>
      </w:pPr>
    </w:p>
    <w:p w:rsidR="00563A0D" w:rsidRDefault="00563A0D">
      <w:pPr>
        <w:ind w:left="-270"/>
        <w:jc w:val="center"/>
      </w:pPr>
    </w:p>
    <w:p w:rsidR="000A1CC5" w:rsidRDefault="000A1CC5" w:rsidP="000A1CC5">
      <w:pPr>
        <w:pStyle w:val="ListParagraph"/>
        <w:numPr>
          <w:ilvl w:val="0"/>
          <w:numId w:val="35"/>
        </w:numPr>
      </w:pPr>
      <w:r>
        <w:t>After Boehringer suction controls are processed, it is imperative they be checked for basic function before returning to service.</w:t>
      </w:r>
      <w:r w:rsidR="000D73AE">
        <w:t xml:space="preserve"> Please refer to each specific model’s instructions for use for proper methods to check regulator performance.</w:t>
      </w:r>
    </w:p>
    <w:p w:rsidR="000D73AE" w:rsidRDefault="000D73AE" w:rsidP="000D73AE">
      <w:pPr>
        <w:pStyle w:val="ListParagraph"/>
        <w:numPr>
          <w:ilvl w:val="0"/>
          <w:numId w:val="35"/>
        </w:numPr>
      </w:pPr>
      <w:r>
        <w:t>At a minimum check the following functions:</w:t>
      </w:r>
    </w:p>
    <w:p w:rsidR="000D73AE" w:rsidRDefault="000D73AE" w:rsidP="000D73AE">
      <w:pPr>
        <w:pStyle w:val="ListParagraph"/>
        <w:numPr>
          <w:ilvl w:val="1"/>
          <w:numId w:val="35"/>
        </w:numPr>
      </w:pPr>
      <w:r>
        <w:t>The regulator can maintain a constant level of vacuum</w:t>
      </w:r>
      <w:r w:rsidR="00EC7DBB">
        <w:t>.</w:t>
      </w:r>
    </w:p>
    <w:p w:rsidR="000D73AE" w:rsidRDefault="000D73AE" w:rsidP="000D73AE">
      <w:pPr>
        <w:pStyle w:val="ListParagraph"/>
        <w:numPr>
          <w:ilvl w:val="1"/>
          <w:numId w:val="35"/>
        </w:numPr>
      </w:pPr>
      <w:r>
        <w:t>The gauge properly indicates the vacuum level</w:t>
      </w:r>
      <w:r w:rsidR="00EC7DBB">
        <w:t>.</w:t>
      </w:r>
    </w:p>
    <w:p w:rsidR="000D73AE" w:rsidRDefault="000D73AE" w:rsidP="000D73AE">
      <w:pPr>
        <w:pStyle w:val="ListParagraph"/>
        <w:numPr>
          <w:ilvl w:val="1"/>
          <w:numId w:val="35"/>
        </w:numPr>
      </w:pPr>
      <w:r>
        <w:t xml:space="preserve">The regulator functions in all operating modes (eg. </w:t>
      </w:r>
      <w:r w:rsidR="00C91537">
        <w:t>c</w:t>
      </w:r>
      <w:r>
        <w:t>ontinuous, intermittent and line)</w:t>
      </w:r>
      <w:r w:rsidR="00EC7DBB">
        <w:t>.</w:t>
      </w:r>
    </w:p>
    <w:p w:rsidR="000D73AE" w:rsidRDefault="000D73AE" w:rsidP="000D73AE">
      <w:pPr>
        <w:pStyle w:val="ListParagraph"/>
        <w:numPr>
          <w:ilvl w:val="1"/>
          <w:numId w:val="35"/>
        </w:numPr>
      </w:pPr>
      <w:r>
        <w:t xml:space="preserve">The regulator flow </w:t>
      </w:r>
      <w:r w:rsidR="00FE56B5">
        <w:t xml:space="preserve">rate is </w:t>
      </w:r>
      <w:r w:rsidR="006B18BE">
        <w:t>in compliance with the model’s specifications</w:t>
      </w:r>
      <w:r w:rsidR="00EC7DBB">
        <w:t>.</w:t>
      </w:r>
    </w:p>
    <w:p w:rsidR="006B18BE" w:rsidRDefault="006B18BE" w:rsidP="006B18BE">
      <w:pPr>
        <w:pStyle w:val="ListParagraph"/>
        <w:numPr>
          <w:ilvl w:val="0"/>
          <w:numId w:val="35"/>
        </w:numPr>
      </w:pPr>
      <w:r>
        <w:t>If you have questions at any time, please feel free to contact Boehringer at 1-800-942-4945.</w:t>
      </w:r>
    </w:p>
    <w:p w:rsidR="00371600" w:rsidRDefault="00371600" w:rsidP="00CA0277">
      <w:pPr>
        <w:ind w:left="-270"/>
        <w:rPr>
          <w:b/>
          <w:spacing w:val="-3"/>
        </w:rPr>
      </w:pPr>
    </w:p>
    <w:p w:rsidR="00781F86" w:rsidRDefault="00781F86" w:rsidP="00CA0277">
      <w:pPr>
        <w:ind w:left="-270"/>
        <w:rPr>
          <w:b/>
          <w:spacing w:val="-3"/>
        </w:rPr>
      </w:pPr>
    </w:p>
    <w:p w:rsidR="00781F86" w:rsidRPr="00C30B1D" w:rsidRDefault="00781F86" w:rsidP="00C30B1D">
      <w:pPr>
        <w:spacing w:after="120"/>
        <w:ind w:left="810"/>
        <w:rPr>
          <w:b/>
          <w:spacing w:val="-3"/>
          <w:sz w:val="20"/>
          <w:szCs w:val="20"/>
        </w:rPr>
      </w:pPr>
      <w:r w:rsidRPr="00C30B1D">
        <w:rPr>
          <w:b/>
          <w:spacing w:val="-3"/>
          <w:sz w:val="20"/>
          <w:szCs w:val="20"/>
        </w:rPr>
        <w:t>References</w:t>
      </w:r>
    </w:p>
    <w:p w:rsidR="00781F86" w:rsidRPr="00C30B1D" w:rsidRDefault="00781F86" w:rsidP="00C30B1D">
      <w:pPr>
        <w:pStyle w:val="BasicParagraph"/>
        <w:spacing w:after="120"/>
        <w:ind w:left="1980" w:right="1800" w:hanging="630"/>
        <w:rPr>
          <w:sz w:val="20"/>
          <w:szCs w:val="20"/>
        </w:rPr>
      </w:pPr>
      <w:r w:rsidRPr="00C30B1D">
        <w:rPr>
          <w:sz w:val="20"/>
          <w:szCs w:val="20"/>
        </w:rPr>
        <w:t xml:space="preserve">Kaye, Keith, et. al. (2010). </w:t>
      </w:r>
      <w:r w:rsidRPr="00C30B1D">
        <w:rPr>
          <w:i/>
          <w:iCs/>
          <w:sz w:val="20"/>
          <w:szCs w:val="20"/>
        </w:rPr>
        <w:t>Suction regulators: a potential vector for hospital-acquired pathogens</w:t>
      </w:r>
      <w:r w:rsidRPr="00C30B1D">
        <w:rPr>
          <w:sz w:val="20"/>
          <w:szCs w:val="20"/>
        </w:rPr>
        <w:t xml:space="preserve">. Infection Control and Hospital Epidemiology, 31(7), 772-774. </w:t>
      </w:r>
    </w:p>
    <w:p w:rsidR="00781F86" w:rsidRPr="00C30B1D" w:rsidRDefault="00781F86" w:rsidP="00C30B1D">
      <w:pPr>
        <w:pStyle w:val="BasicParagraph"/>
        <w:spacing w:after="120"/>
        <w:ind w:left="1980" w:right="1800" w:hanging="630"/>
        <w:rPr>
          <w:sz w:val="20"/>
          <w:szCs w:val="20"/>
        </w:rPr>
      </w:pPr>
      <w:r w:rsidRPr="00C30B1D">
        <w:rPr>
          <w:sz w:val="20"/>
          <w:szCs w:val="20"/>
        </w:rPr>
        <w:t xml:space="preserve">Maragakis, Lisa, et. al.(2004). </w:t>
      </w:r>
      <w:r w:rsidRPr="00C30B1D">
        <w:rPr>
          <w:i/>
          <w:iCs/>
          <w:sz w:val="20"/>
          <w:szCs w:val="20"/>
        </w:rPr>
        <w:t>An outbreak of multidrug-resistant acinetobacter baumannii associated with pulsatile lavage wound treatment</w:t>
      </w:r>
      <w:r w:rsidRPr="00C30B1D">
        <w:rPr>
          <w:sz w:val="20"/>
          <w:szCs w:val="20"/>
        </w:rPr>
        <w:t>. JAMA, 292(24), 3006-3011.</w:t>
      </w:r>
    </w:p>
    <w:p w:rsidR="00781F86" w:rsidRPr="00C30B1D" w:rsidRDefault="00781F86" w:rsidP="00C30B1D">
      <w:pPr>
        <w:pStyle w:val="BasicParagraph"/>
        <w:spacing w:after="120"/>
        <w:ind w:left="1980" w:right="1890" w:hanging="630"/>
        <w:rPr>
          <w:sz w:val="20"/>
          <w:szCs w:val="20"/>
        </w:rPr>
      </w:pPr>
      <w:r w:rsidRPr="00C30B1D">
        <w:rPr>
          <w:sz w:val="20"/>
          <w:szCs w:val="20"/>
        </w:rPr>
        <w:t>“</w:t>
      </w:r>
      <w:r w:rsidRPr="00C30B1D">
        <w:rPr>
          <w:i/>
          <w:iCs/>
          <w:sz w:val="20"/>
          <w:szCs w:val="20"/>
        </w:rPr>
        <w:t>Use of Filters on Medical Gas System Outlets and Vacuum System Inlets</w:t>
      </w:r>
      <w:r w:rsidRPr="00C30B1D">
        <w:rPr>
          <w:sz w:val="20"/>
          <w:szCs w:val="20"/>
        </w:rPr>
        <w:t>” User Experience Network™, ECRI [Health Devices Dec 1994;23(12):494-5] .</w:t>
      </w:r>
    </w:p>
    <w:p w:rsidR="00781F86" w:rsidRPr="00C30B1D" w:rsidRDefault="00781F86" w:rsidP="00C30B1D">
      <w:pPr>
        <w:pStyle w:val="BasicParagraph"/>
        <w:spacing w:after="120"/>
        <w:ind w:left="1980" w:right="1890" w:hanging="630"/>
        <w:rPr>
          <w:sz w:val="20"/>
          <w:szCs w:val="20"/>
        </w:rPr>
      </w:pPr>
      <w:r w:rsidRPr="00C30B1D">
        <w:rPr>
          <w:sz w:val="20"/>
          <w:szCs w:val="20"/>
        </w:rPr>
        <w:t>Healthcare Product Comparison System “Regulators, Suction”. Dated January 2001. ECRI Institute, Plymouth Meeting PA.</w:t>
      </w:r>
    </w:p>
    <w:p w:rsidR="00781F86" w:rsidRDefault="00781F86" w:rsidP="00C30B1D">
      <w:pPr>
        <w:pStyle w:val="BasicParagraph"/>
        <w:spacing w:after="120"/>
        <w:ind w:left="1980" w:right="1890" w:hanging="630"/>
        <w:rPr>
          <w:sz w:val="20"/>
          <w:szCs w:val="20"/>
        </w:rPr>
      </w:pPr>
      <w:r w:rsidRPr="00C30B1D">
        <w:rPr>
          <w:sz w:val="20"/>
          <w:szCs w:val="20"/>
        </w:rPr>
        <w:t xml:space="preserve">Guidelines for Design and Construction of Healthcare </w:t>
      </w:r>
      <w:r w:rsidR="00E72361" w:rsidRPr="00C30B1D">
        <w:rPr>
          <w:sz w:val="20"/>
          <w:szCs w:val="20"/>
        </w:rPr>
        <w:t>Facilities: Facility</w:t>
      </w:r>
      <w:r w:rsidRPr="00C30B1D">
        <w:rPr>
          <w:sz w:val="20"/>
          <w:szCs w:val="20"/>
        </w:rPr>
        <w:t xml:space="preserve"> Guidelines Institute; 2010 Edition. § 2.1-8.4.4.2 Vacuum systems</w:t>
      </w:r>
    </w:p>
    <w:p w:rsidR="004A0B6A" w:rsidRPr="00C30B1D" w:rsidRDefault="004A0B6A" w:rsidP="004A0B6A">
      <w:pPr>
        <w:pStyle w:val="BasicParagraph"/>
        <w:spacing w:after="120"/>
        <w:ind w:left="1980" w:right="1890" w:hanging="630"/>
        <w:rPr>
          <w:sz w:val="20"/>
          <w:szCs w:val="20"/>
        </w:rPr>
      </w:pPr>
      <w:r w:rsidRPr="00C30B1D">
        <w:rPr>
          <w:sz w:val="20"/>
          <w:szCs w:val="20"/>
        </w:rPr>
        <w:t xml:space="preserve">Guidelines </w:t>
      </w:r>
      <w:r w:rsidRPr="005B5954">
        <w:rPr>
          <w:sz w:val="20"/>
          <w:szCs w:val="20"/>
        </w:rPr>
        <w:t>for Disinfection and Sterilization in Healthcare Facilities, 2008</w:t>
      </w:r>
      <w:r>
        <w:rPr>
          <w:sz w:val="20"/>
          <w:szCs w:val="20"/>
        </w:rPr>
        <w:t>.</w:t>
      </w:r>
      <w:r w:rsidRPr="005B5954">
        <w:rPr>
          <w:sz w:val="20"/>
          <w:szCs w:val="20"/>
        </w:rPr>
        <w:t>William A. Rutala, Ph.D., M.P.H., David J. Weber, M.D., M.P.H., and the Healthcare Infection Control Practices Advisory Committee (HICPAC)</w:t>
      </w:r>
    </w:p>
    <w:p w:rsidR="00781F86" w:rsidRPr="00C30B1D" w:rsidRDefault="00781F86" w:rsidP="00C30B1D">
      <w:pPr>
        <w:pStyle w:val="BasicParagraph"/>
        <w:spacing w:after="120"/>
        <w:ind w:left="1980" w:right="1890" w:hanging="630"/>
        <w:rPr>
          <w:sz w:val="20"/>
          <w:szCs w:val="20"/>
        </w:rPr>
      </w:pPr>
      <w:r w:rsidRPr="00C30B1D">
        <w:rPr>
          <w:sz w:val="20"/>
          <w:szCs w:val="20"/>
        </w:rPr>
        <w:t>Neary, Michael, et. al “</w:t>
      </w:r>
      <w:r w:rsidRPr="00C30B1D">
        <w:rPr>
          <w:i/>
          <w:iCs/>
          <w:sz w:val="20"/>
          <w:szCs w:val="20"/>
        </w:rPr>
        <w:t>The Clinical Importance of Unrestricted Flow in Hospital Suction Systems</w:t>
      </w:r>
      <w:r w:rsidRPr="00C30B1D">
        <w:rPr>
          <w:sz w:val="20"/>
          <w:szCs w:val="20"/>
        </w:rPr>
        <w:t xml:space="preserve">” Clinical white paper published August 2008 by Boehringer Laboratories, LLC. </w:t>
      </w:r>
    </w:p>
    <w:p w:rsidR="00781F86" w:rsidRPr="00C30B1D" w:rsidRDefault="00781F86" w:rsidP="00C30B1D">
      <w:pPr>
        <w:pStyle w:val="BasicParagraph"/>
        <w:spacing w:after="120"/>
        <w:ind w:left="1980" w:right="1800" w:hanging="630"/>
        <w:rPr>
          <w:sz w:val="20"/>
          <w:szCs w:val="20"/>
        </w:rPr>
      </w:pPr>
      <w:r w:rsidRPr="00C30B1D">
        <w:rPr>
          <w:sz w:val="20"/>
          <w:szCs w:val="20"/>
        </w:rPr>
        <w:t>Hill, John, et. al ”</w:t>
      </w:r>
      <w:r w:rsidRPr="00C30B1D">
        <w:rPr>
          <w:i/>
          <w:iCs/>
          <w:sz w:val="20"/>
          <w:szCs w:val="20"/>
        </w:rPr>
        <w:t>The Efficacy of Backflushing Suction Regulators as a Method of Internal Disinfection”</w:t>
      </w:r>
      <w:r w:rsidRPr="00C30B1D">
        <w:rPr>
          <w:sz w:val="20"/>
          <w:szCs w:val="20"/>
        </w:rPr>
        <w:t xml:space="preserve"> Presented at the 55th Annual International Respiratory Conference (AARC 2009).</w:t>
      </w:r>
    </w:p>
    <w:p w:rsidR="00781F86" w:rsidRPr="00C30B1D" w:rsidRDefault="00781F86" w:rsidP="00C30B1D">
      <w:pPr>
        <w:pStyle w:val="BasicParagraph"/>
        <w:spacing w:after="120"/>
        <w:ind w:left="1980" w:right="1800" w:hanging="630"/>
        <w:rPr>
          <w:sz w:val="20"/>
          <w:szCs w:val="20"/>
        </w:rPr>
      </w:pPr>
      <w:r w:rsidRPr="00C30B1D">
        <w:rPr>
          <w:sz w:val="20"/>
          <w:szCs w:val="20"/>
        </w:rPr>
        <w:t xml:space="preserve">Kaye, Keith, et. al </w:t>
      </w:r>
      <w:r w:rsidRPr="00C30B1D">
        <w:rPr>
          <w:i/>
          <w:iCs/>
          <w:sz w:val="20"/>
          <w:szCs w:val="20"/>
        </w:rPr>
        <w:t>”An Evidence Based Approach to Determining Hospital Suction Canister Change Protocols”</w:t>
      </w:r>
      <w:r w:rsidRPr="00C30B1D">
        <w:rPr>
          <w:sz w:val="20"/>
          <w:szCs w:val="20"/>
        </w:rPr>
        <w:t xml:space="preserve"> Presented at the 37th Annual Meeting of the Association for Professionals in Infection Control and Epidemiology (APIC 2010).</w:t>
      </w:r>
    </w:p>
    <w:p w:rsidR="00781F86" w:rsidRPr="00C30B1D" w:rsidRDefault="00781F86" w:rsidP="00C30B1D">
      <w:pPr>
        <w:pStyle w:val="BasicParagraph"/>
        <w:spacing w:after="120"/>
        <w:ind w:left="1980" w:right="1800" w:hanging="630"/>
        <w:rPr>
          <w:sz w:val="20"/>
          <w:szCs w:val="20"/>
        </w:rPr>
      </w:pPr>
      <w:r w:rsidRPr="00C30B1D">
        <w:rPr>
          <w:sz w:val="20"/>
          <w:szCs w:val="20"/>
        </w:rPr>
        <w:t>Karpowicz, John, et. a.”</w:t>
      </w:r>
      <w:r w:rsidRPr="00C30B1D">
        <w:rPr>
          <w:i/>
          <w:iCs/>
          <w:sz w:val="20"/>
          <w:szCs w:val="20"/>
        </w:rPr>
        <w:t>Your Hospital’s Cost of Disposable Suction Regulators</w:t>
      </w:r>
      <w:r w:rsidRPr="00C30B1D">
        <w:rPr>
          <w:sz w:val="20"/>
          <w:szCs w:val="20"/>
        </w:rPr>
        <w:t>” Clinical white paper published September 2010 by Boehringer Laboratories, LLC</w:t>
      </w:r>
    </w:p>
    <w:p w:rsidR="00781F86" w:rsidRDefault="00781F86" w:rsidP="00CA0277">
      <w:pPr>
        <w:ind w:left="-270"/>
        <w:rPr>
          <w:b/>
          <w:spacing w:val="-3"/>
        </w:rPr>
      </w:pPr>
    </w:p>
    <w:p w:rsidR="00781F86" w:rsidRDefault="00781F86" w:rsidP="00CA0277">
      <w:pPr>
        <w:ind w:left="-270"/>
        <w:rPr>
          <w:b/>
          <w:spacing w:val="-3"/>
        </w:rPr>
      </w:pPr>
    </w:p>
    <w:p w:rsidR="00781F86" w:rsidRPr="008C7E20" w:rsidRDefault="00781F86" w:rsidP="00CA0277">
      <w:pPr>
        <w:ind w:left="-270"/>
        <w:rPr>
          <w:b/>
          <w:spacing w:val="-3"/>
        </w:rPr>
      </w:pPr>
    </w:p>
    <w:p w:rsidR="00371600" w:rsidRDefault="00371600">
      <w:pPr>
        <w:rPr>
          <w:b/>
          <w:spacing w:val="-3"/>
        </w:rPr>
      </w:pPr>
    </w:p>
    <w:p w:rsidR="00781F86" w:rsidRDefault="00781F86">
      <w:pPr>
        <w:rPr>
          <w:b/>
          <w:spacing w:val="-3"/>
        </w:rPr>
      </w:pPr>
    </w:p>
    <w:p w:rsidR="00781F86" w:rsidRPr="008C7E20" w:rsidRDefault="00781F86">
      <w:pPr>
        <w:rPr>
          <w:b/>
          <w:spacing w:val="-3"/>
        </w:rPr>
      </w:pPr>
    </w:p>
    <w:p w:rsidR="00054BC7" w:rsidRPr="008C7E20" w:rsidRDefault="00054BC7">
      <w:pPr>
        <w:rPr>
          <w:sz w:val="20"/>
        </w:rPr>
      </w:pPr>
    </w:p>
    <w:p w:rsidR="008273B5" w:rsidRPr="008C7E20" w:rsidRDefault="008273B5">
      <w:pPr>
        <w:ind w:left="-270"/>
        <w:jc w:val="center"/>
        <w:rPr>
          <w:sz w:val="20"/>
        </w:rPr>
      </w:pPr>
    </w:p>
    <w:p w:rsidR="00543B44" w:rsidRDefault="00543B44">
      <w:pPr>
        <w:ind w:left="-270"/>
        <w:jc w:val="center"/>
      </w:pPr>
    </w:p>
    <w:p w:rsidR="006C1CEC" w:rsidRDefault="006C1CEC">
      <w:pPr>
        <w:ind w:left="-270"/>
        <w:jc w:val="center"/>
      </w:pPr>
    </w:p>
    <w:p w:rsidR="006C1CEC" w:rsidRDefault="006C1CEC">
      <w:pPr>
        <w:ind w:left="-270"/>
        <w:jc w:val="center"/>
      </w:pPr>
    </w:p>
    <w:p w:rsidR="006C1CEC" w:rsidRDefault="006C1CEC">
      <w:pPr>
        <w:ind w:left="-270"/>
        <w:jc w:val="center"/>
      </w:pPr>
    </w:p>
    <w:p w:rsidR="006C1CEC" w:rsidRDefault="006C1CEC">
      <w:pPr>
        <w:ind w:left="-270"/>
        <w:jc w:val="center"/>
      </w:pPr>
    </w:p>
    <w:p w:rsidR="006C1CEC" w:rsidRDefault="006C1CEC">
      <w:pPr>
        <w:ind w:left="-270"/>
        <w:jc w:val="center"/>
      </w:pPr>
    </w:p>
    <w:p w:rsidR="006C1CEC" w:rsidRDefault="006C1CEC">
      <w:pPr>
        <w:ind w:left="-270"/>
        <w:jc w:val="center"/>
      </w:pPr>
    </w:p>
    <w:p w:rsidR="006C1CEC" w:rsidRDefault="006C1CEC">
      <w:pPr>
        <w:ind w:left="-270"/>
        <w:jc w:val="center"/>
      </w:pPr>
    </w:p>
    <w:p w:rsidR="006C1CEC" w:rsidRDefault="006C1CEC">
      <w:pPr>
        <w:ind w:left="-270"/>
        <w:jc w:val="center"/>
      </w:pPr>
    </w:p>
    <w:p w:rsidR="006C1CEC" w:rsidRDefault="006C1CEC">
      <w:pPr>
        <w:ind w:left="-270"/>
        <w:jc w:val="center"/>
      </w:pPr>
    </w:p>
    <w:p w:rsidR="006C1CEC" w:rsidRDefault="006C1CEC">
      <w:pPr>
        <w:ind w:left="-270"/>
        <w:jc w:val="center"/>
      </w:pPr>
    </w:p>
    <w:p w:rsidR="006C1CEC" w:rsidRDefault="006C1CEC">
      <w:pPr>
        <w:ind w:left="-270"/>
        <w:jc w:val="center"/>
      </w:pPr>
    </w:p>
    <w:p w:rsidR="006C1CEC" w:rsidRDefault="006C1CEC">
      <w:pPr>
        <w:ind w:left="-270"/>
        <w:jc w:val="center"/>
      </w:pPr>
    </w:p>
    <w:p w:rsidR="006C1CEC" w:rsidRPr="008C7E20" w:rsidRDefault="006C1CEC">
      <w:pPr>
        <w:ind w:left="-270"/>
        <w:jc w:val="center"/>
      </w:pPr>
    </w:p>
    <w:p w:rsidR="00543B44" w:rsidRPr="008C7E20" w:rsidRDefault="005D02EE">
      <w:pPr>
        <w:ind w:left="-270"/>
        <w:jc w:val="center"/>
      </w:pPr>
      <w:r w:rsidRPr="008C7E20">
        <w:rPr>
          <w:noProof/>
        </w:rPr>
        <w:drawing>
          <wp:inline distT="0" distB="0" distL="0" distR="0">
            <wp:extent cx="2194560" cy="461010"/>
            <wp:effectExtent l="19050" t="0" r="0" b="0"/>
            <wp:docPr id="3" name="Picture 3" descr="Boehrin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ehringer Logo"/>
                    <pic:cNvPicPr>
                      <a:picLocks noChangeAspect="1" noChangeArrowheads="1"/>
                    </pic:cNvPicPr>
                  </pic:nvPicPr>
                  <pic:blipFill>
                    <a:blip r:embed="rId16" cstate="print"/>
                    <a:srcRect/>
                    <a:stretch>
                      <a:fillRect/>
                    </a:stretch>
                  </pic:blipFill>
                  <pic:spPr bwMode="auto">
                    <a:xfrm>
                      <a:off x="0" y="0"/>
                      <a:ext cx="2194560" cy="461010"/>
                    </a:xfrm>
                    <a:prstGeom prst="rect">
                      <a:avLst/>
                    </a:prstGeom>
                    <a:noFill/>
                    <a:ln w="9525">
                      <a:noFill/>
                      <a:miter lim="800000"/>
                      <a:headEnd/>
                      <a:tailEnd/>
                    </a:ln>
                  </pic:spPr>
                </pic:pic>
              </a:graphicData>
            </a:graphic>
          </wp:inline>
        </w:drawing>
      </w:r>
    </w:p>
    <w:p w:rsidR="00563A0D" w:rsidRDefault="00563A0D">
      <w:pPr>
        <w:jc w:val="center"/>
        <w:rPr>
          <w:sz w:val="28"/>
        </w:rPr>
      </w:pPr>
    </w:p>
    <w:p w:rsidR="00543B44" w:rsidRPr="008C7E20" w:rsidRDefault="00543B44">
      <w:pPr>
        <w:jc w:val="center"/>
        <w:rPr>
          <w:sz w:val="28"/>
        </w:rPr>
      </w:pPr>
      <w:r w:rsidRPr="008C7E20">
        <w:rPr>
          <w:sz w:val="28"/>
        </w:rPr>
        <w:t>Boehringer Laboratories,</w:t>
      </w:r>
      <w:r w:rsidR="007C1365" w:rsidRPr="008C7E20">
        <w:rPr>
          <w:sz w:val="28"/>
        </w:rPr>
        <w:t xml:space="preserve"> LLC</w:t>
      </w:r>
    </w:p>
    <w:p w:rsidR="00543B44" w:rsidRPr="008C7E20" w:rsidRDefault="00E36F8E">
      <w:pPr>
        <w:jc w:val="center"/>
        <w:rPr>
          <w:sz w:val="28"/>
        </w:rPr>
      </w:pPr>
      <w:r w:rsidRPr="008C7E20">
        <w:rPr>
          <w:sz w:val="28"/>
        </w:rPr>
        <w:t>300 Thoms Drive</w:t>
      </w:r>
    </w:p>
    <w:p w:rsidR="00E36F8E" w:rsidRPr="008C7E20" w:rsidRDefault="00E36F8E">
      <w:pPr>
        <w:jc w:val="center"/>
        <w:rPr>
          <w:sz w:val="28"/>
        </w:rPr>
      </w:pPr>
      <w:r w:rsidRPr="008C7E20">
        <w:rPr>
          <w:sz w:val="28"/>
        </w:rPr>
        <w:t>Phoenixville, PA 19460</w:t>
      </w:r>
    </w:p>
    <w:p w:rsidR="00543B44" w:rsidRPr="008C7E20" w:rsidRDefault="00543B44">
      <w:pPr>
        <w:jc w:val="center"/>
        <w:rPr>
          <w:sz w:val="28"/>
        </w:rPr>
      </w:pPr>
    </w:p>
    <w:p w:rsidR="00543B44" w:rsidRPr="008C7E20" w:rsidRDefault="00543B44">
      <w:pPr>
        <w:jc w:val="center"/>
        <w:rPr>
          <w:sz w:val="28"/>
        </w:rPr>
      </w:pPr>
      <w:r w:rsidRPr="008C7E20">
        <w:rPr>
          <w:sz w:val="28"/>
        </w:rPr>
        <w:t>For</w:t>
      </w:r>
    </w:p>
    <w:p w:rsidR="00543B44" w:rsidRPr="008C7E20" w:rsidRDefault="00543B44">
      <w:pPr>
        <w:jc w:val="center"/>
        <w:rPr>
          <w:sz w:val="28"/>
        </w:rPr>
      </w:pPr>
      <w:r w:rsidRPr="008C7E20">
        <w:rPr>
          <w:sz w:val="28"/>
        </w:rPr>
        <w:t>Customer Service</w:t>
      </w:r>
    </w:p>
    <w:p w:rsidR="00543B44" w:rsidRPr="008C7E20" w:rsidRDefault="00543B44">
      <w:pPr>
        <w:jc w:val="center"/>
        <w:rPr>
          <w:sz w:val="28"/>
        </w:rPr>
      </w:pPr>
      <w:r w:rsidRPr="008C7E20">
        <w:rPr>
          <w:sz w:val="28"/>
        </w:rPr>
        <w:t>Or</w:t>
      </w:r>
    </w:p>
    <w:p w:rsidR="00543B44" w:rsidRPr="008C7E20" w:rsidRDefault="00543B44">
      <w:pPr>
        <w:jc w:val="center"/>
        <w:rPr>
          <w:sz w:val="28"/>
        </w:rPr>
      </w:pPr>
      <w:r w:rsidRPr="008C7E20">
        <w:rPr>
          <w:sz w:val="28"/>
        </w:rPr>
        <w:t>Technical Support</w:t>
      </w:r>
    </w:p>
    <w:p w:rsidR="00543B44" w:rsidRPr="008C7E20" w:rsidRDefault="00543B44">
      <w:pPr>
        <w:jc w:val="center"/>
        <w:rPr>
          <w:sz w:val="28"/>
        </w:rPr>
      </w:pPr>
    </w:p>
    <w:p w:rsidR="00543B44" w:rsidRPr="008C7E20" w:rsidRDefault="00543B44">
      <w:pPr>
        <w:jc w:val="center"/>
        <w:rPr>
          <w:sz w:val="28"/>
        </w:rPr>
      </w:pPr>
      <w:r w:rsidRPr="008C7E20">
        <w:rPr>
          <w:sz w:val="28"/>
        </w:rPr>
        <w:t>800-642-4945</w:t>
      </w:r>
    </w:p>
    <w:p w:rsidR="00E36F8E" w:rsidRPr="008C7E20" w:rsidRDefault="00E36F8E">
      <w:pPr>
        <w:jc w:val="center"/>
        <w:rPr>
          <w:sz w:val="28"/>
        </w:rPr>
      </w:pPr>
    </w:p>
    <w:p w:rsidR="00543B44" w:rsidRPr="008C7E20" w:rsidRDefault="003C48AF">
      <w:pPr>
        <w:jc w:val="center"/>
        <w:rPr>
          <w:sz w:val="28"/>
        </w:rPr>
      </w:pPr>
      <w:hyperlink r:id="rId17" w:history="1">
        <w:r w:rsidR="00543B44" w:rsidRPr="008C7E20">
          <w:rPr>
            <w:rStyle w:val="Hyperlink"/>
            <w:sz w:val="28"/>
          </w:rPr>
          <w:t>www.boehringerlabs.com</w:t>
        </w:r>
      </w:hyperlink>
    </w:p>
    <w:p w:rsidR="00543B44" w:rsidRPr="008C7E20" w:rsidRDefault="00543B44">
      <w:pPr>
        <w:jc w:val="center"/>
      </w:pPr>
    </w:p>
    <w:p w:rsidR="00543B44" w:rsidRPr="008C7E20" w:rsidRDefault="003C48AF">
      <w:pPr>
        <w:spacing w:before="120"/>
        <w:jc w:val="center"/>
        <w:rPr>
          <w:b/>
          <w:bCs/>
          <w:i/>
          <w:iCs/>
        </w:rPr>
      </w:pPr>
      <w:r>
        <w:rPr>
          <w:b/>
          <w:bCs/>
          <w:i/>
          <w:iCs/>
          <w:noProof/>
          <w:sz w:val="20"/>
        </w:rPr>
        <w:pict>
          <v:shape id="_x0000_s1151" type="#_x0000_t202" style="position:absolute;left:0;text-align:left;margin-left:147pt;margin-top:52.85pt;width:261pt;height:126pt;z-index:251653120" fillcolor="#ff9" stroked="f" strokeweight="2pt">
            <v:imagedata embosscolor="shadow add(51)"/>
            <v:shadow type="emboss" color="lineOrFill darken(153)" color2="shadow add(102)" offset="4pt,5pt"/>
            <v:textbox style="mso-next-textbox:#_x0000_s1151">
              <w:txbxContent>
                <w:p w:rsidR="00E33C69" w:rsidRDefault="00E33C69" w:rsidP="003962DC">
                  <w:pPr>
                    <w:pStyle w:val="Footer"/>
                    <w:tabs>
                      <w:tab w:val="clear" w:pos="4320"/>
                      <w:tab w:val="clear" w:pos="8640"/>
                    </w:tabs>
                    <w:spacing w:before="120"/>
                    <w:jc w:val="center"/>
                    <w:rPr>
                      <w:rFonts w:cs="Arial"/>
                      <w:b/>
                      <w:bCs/>
                      <w:i/>
                      <w:iCs/>
                      <w:sz w:val="28"/>
                      <w:szCs w:val="24"/>
                    </w:rPr>
                  </w:pPr>
                  <w:r>
                    <w:rPr>
                      <w:rFonts w:cs="Arial"/>
                      <w:b/>
                      <w:bCs/>
                      <w:i/>
                      <w:iCs/>
                      <w:sz w:val="28"/>
                      <w:szCs w:val="24"/>
                    </w:rPr>
                    <w:t>A free trial evaluation</w:t>
                  </w:r>
                </w:p>
                <w:p w:rsidR="00E33C69" w:rsidRDefault="00E33C69" w:rsidP="003962DC">
                  <w:pPr>
                    <w:pStyle w:val="Footer"/>
                    <w:tabs>
                      <w:tab w:val="clear" w:pos="4320"/>
                      <w:tab w:val="clear" w:pos="8640"/>
                    </w:tabs>
                    <w:spacing w:before="120"/>
                    <w:jc w:val="center"/>
                    <w:rPr>
                      <w:rFonts w:cs="Arial"/>
                      <w:b/>
                      <w:bCs/>
                      <w:i/>
                      <w:iCs/>
                      <w:sz w:val="28"/>
                      <w:szCs w:val="24"/>
                    </w:rPr>
                  </w:pPr>
                  <w:r>
                    <w:rPr>
                      <w:rFonts w:cs="Arial"/>
                      <w:b/>
                      <w:bCs/>
                      <w:i/>
                      <w:iCs/>
                      <w:sz w:val="28"/>
                      <w:szCs w:val="24"/>
                    </w:rPr>
                    <w:t>of any of our suction regulators</w:t>
                  </w:r>
                </w:p>
                <w:p w:rsidR="00E33C69" w:rsidRDefault="00E33C69" w:rsidP="003962DC">
                  <w:pPr>
                    <w:pStyle w:val="Footer"/>
                    <w:tabs>
                      <w:tab w:val="clear" w:pos="4320"/>
                      <w:tab w:val="clear" w:pos="8640"/>
                    </w:tabs>
                    <w:spacing w:before="120"/>
                    <w:jc w:val="center"/>
                    <w:rPr>
                      <w:rFonts w:cs="Arial"/>
                      <w:b/>
                      <w:bCs/>
                      <w:i/>
                      <w:iCs/>
                      <w:sz w:val="28"/>
                      <w:szCs w:val="24"/>
                    </w:rPr>
                  </w:pPr>
                  <w:r>
                    <w:rPr>
                      <w:rFonts w:cs="Arial"/>
                      <w:b/>
                      <w:bCs/>
                      <w:i/>
                      <w:iCs/>
                      <w:sz w:val="28"/>
                      <w:szCs w:val="24"/>
                    </w:rPr>
                    <w:t>can be arranged by calling</w:t>
                  </w:r>
                </w:p>
                <w:p w:rsidR="00E33C69" w:rsidRDefault="00E33C69" w:rsidP="003962DC">
                  <w:pPr>
                    <w:pStyle w:val="Footer"/>
                    <w:tabs>
                      <w:tab w:val="clear" w:pos="4320"/>
                      <w:tab w:val="clear" w:pos="8640"/>
                    </w:tabs>
                    <w:spacing w:before="120"/>
                    <w:jc w:val="center"/>
                    <w:rPr>
                      <w:rFonts w:cs="Arial"/>
                      <w:b/>
                      <w:bCs/>
                      <w:i/>
                      <w:iCs/>
                      <w:sz w:val="28"/>
                      <w:szCs w:val="24"/>
                    </w:rPr>
                  </w:pPr>
                  <w:r>
                    <w:rPr>
                      <w:rFonts w:cs="Arial"/>
                      <w:b/>
                      <w:bCs/>
                      <w:i/>
                      <w:iCs/>
                      <w:sz w:val="28"/>
                      <w:szCs w:val="24"/>
                    </w:rPr>
                    <w:t>(800) 642-4945</w:t>
                  </w:r>
                </w:p>
              </w:txbxContent>
            </v:textbox>
          </v:shape>
        </w:pict>
      </w:r>
      <w:r w:rsidR="004445AA">
        <w:rPr>
          <w:b/>
          <w:bCs/>
          <w:i/>
          <w:iCs/>
        </w:rPr>
        <w:t>© 201</w:t>
      </w:r>
      <w:r w:rsidR="00CF0F8A">
        <w:rPr>
          <w:b/>
          <w:bCs/>
          <w:i/>
          <w:iCs/>
        </w:rPr>
        <w:t>2</w:t>
      </w:r>
      <w:r w:rsidR="004445AA">
        <w:rPr>
          <w:b/>
          <w:bCs/>
          <w:i/>
          <w:iCs/>
        </w:rPr>
        <w:t xml:space="preserve"> Boehringer Laboratories, LLC.</w:t>
      </w:r>
    </w:p>
    <w:sectPr w:rsidR="00543B44" w:rsidRPr="008C7E20" w:rsidSect="006B4ABA">
      <w:footerReference w:type="even" r:id="rId18"/>
      <w:footerReference w:type="default" r:id="rId1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AF" w:rsidRDefault="003C48AF">
      <w:r>
        <w:separator/>
      </w:r>
    </w:p>
  </w:endnote>
  <w:endnote w:type="continuationSeparator" w:id="0">
    <w:p w:rsidR="003C48AF" w:rsidRDefault="003C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C69" w:rsidRDefault="00E33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C69" w:rsidRDefault="00E33C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C69" w:rsidRPr="00CF0F8A" w:rsidRDefault="00E33C69">
    <w:pPr>
      <w:pStyle w:val="Footer"/>
      <w:framePr w:wrap="around" w:vAnchor="text" w:hAnchor="margin" w:xAlign="right" w:y="1"/>
      <w:rPr>
        <w:rStyle w:val="PageNumber"/>
        <w:sz w:val="16"/>
        <w:szCs w:val="16"/>
      </w:rPr>
    </w:pPr>
    <w:r w:rsidRPr="00CF0F8A">
      <w:rPr>
        <w:rStyle w:val="PageNumber"/>
        <w:sz w:val="16"/>
        <w:szCs w:val="16"/>
      </w:rPr>
      <w:t xml:space="preserve">Page </w:t>
    </w:r>
    <w:r w:rsidRPr="00CF0F8A">
      <w:rPr>
        <w:rStyle w:val="PageNumber"/>
        <w:sz w:val="16"/>
        <w:szCs w:val="16"/>
      </w:rPr>
      <w:fldChar w:fldCharType="begin"/>
    </w:r>
    <w:r w:rsidRPr="00CF0F8A">
      <w:rPr>
        <w:rStyle w:val="PageNumber"/>
        <w:sz w:val="16"/>
        <w:szCs w:val="16"/>
      </w:rPr>
      <w:instrText xml:space="preserve"> PAGE </w:instrText>
    </w:r>
    <w:r w:rsidRPr="00CF0F8A">
      <w:rPr>
        <w:rStyle w:val="PageNumber"/>
        <w:sz w:val="16"/>
        <w:szCs w:val="16"/>
      </w:rPr>
      <w:fldChar w:fldCharType="separate"/>
    </w:r>
    <w:r w:rsidR="00FD2052">
      <w:rPr>
        <w:rStyle w:val="PageNumber"/>
        <w:noProof/>
        <w:sz w:val="16"/>
        <w:szCs w:val="16"/>
      </w:rPr>
      <w:t>1</w:t>
    </w:r>
    <w:r w:rsidRPr="00CF0F8A">
      <w:rPr>
        <w:rStyle w:val="PageNumber"/>
        <w:sz w:val="16"/>
        <w:szCs w:val="16"/>
      </w:rPr>
      <w:fldChar w:fldCharType="end"/>
    </w:r>
    <w:r w:rsidRPr="00CF0F8A">
      <w:rPr>
        <w:rStyle w:val="PageNumber"/>
        <w:sz w:val="16"/>
        <w:szCs w:val="16"/>
      </w:rPr>
      <w:t xml:space="preserve"> of </w:t>
    </w:r>
    <w:r w:rsidRPr="00CF0F8A">
      <w:rPr>
        <w:rStyle w:val="PageNumber"/>
        <w:sz w:val="16"/>
        <w:szCs w:val="16"/>
      </w:rPr>
      <w:fldChar w:fldCharType="begin"/>
    </w:r>
    <w:r w:rsidRPr="00CF0F8A">
      <w:rPr>
        <w:rStyle w:val="PageNumber"/>
        <w:sz w:val="16"/>
        <w:szCs w:val="16"/>
      </w:rPr>
      <w:instrText xml:space="preserve"> NUMPAGES </w:instrText>
    </w:r>
    <w:r w:rsidRPr="00CF0F8A">
      <w:rPr>
        <w:rStyle w:val="PageNumber"/>
        <w:sz w:val="16"/>
        <w:szCs w:val="16"/>
      </w:rPr>
      <w:fldChar w:fldCharType="separate"/>
    </w:r>
    <w:r w:rsidR="00FD2052">
      <w:rPr>
        <w:rStyle w:val="PageNumber"/>
        <w:noProof/>
        <w:sz w:val="16"/>
        <w:szCs w:val="16"/>
      </w:rPr>
      <w:t>10</w:t>
    </w:r>
    <w:r w:rsidRPr="00CF0F8A">
      <w:rPr>
        <w:rStyle w:val="PageNumber"/>
        <w:sz w:val="16"/>
        <w:szCs w:val="16"/>
      </w:rPr>
      <w:fldChar w:fldCharType="end"/>
    </w:r>
  </w:p>
  <w:p w:rsidR="00E33C69" w:rsidRDefault="00E33C69" w:rsidP="00CF0F8A">
    <w:pPr>
      <w:pStyle w:val="Footer"/>
      <w:tabs>
        <w:tab w:val="clear" w:pos="4320"/>
        <w:tab w:val="center" w:pos="5400"/>
      </w:tabs>
      <w:ind w:right="360"/>
      <w:rPr>
        <w:sz w:val="16"/>
      </w:rPr>
    </w:pPr>
    <w:r>
      <w:rPr>
        <w:sz w:val="16"/>
      </w:rPr>
      <w:t>3800.044 Rev A</w:t>
    </w:r>
    <w:r>
      <w:rPr>
        <w:sz w:val="16"/>
      </w:rPr>
      <w:tab/>
      <w:t>3800/3900 Series Suction Regulator Processing Guide</w:t>
    </w:r>
  </w:p>
  <w:p w:rsidR="00E33C69" w:rsidRDefault="00E33C69" w:rsidP="00CF0F8A">
    <w:pPr>
      <w:pStyle w:val="Footer"/>
      <w:tabs>
        <w:tab w:val="clear" w:pos="4320"/>
        <w:tab w:val="center" w:pos="5400"/>
      </w:tabs>
      <w:ind w:right="360"/>
      <w:rPr>
        <w:sz w:val="16"/>
      </w:rPr>
    </w:pPr>
    <w:r>
      <w:rPr>
        <w:sz w:val="16"/>
      </w:rPr>
      <w:tab/>
      <w:t>Released Oct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AF" w:rsidRDefault="003C48AF">
      <w:r>
        <w:separator/>
      </w:r>
    </w:p>
  </w:footnote>
  <w:footnote w:type="continuationSeparator" w:id="0">
    <w:p w:rsidR="003C48AF" w:rsidRDefault="003C48AF">
      <w:r>
        <w:continuationSeparator/>
      </w:r>
    </w:p>
  </w:footnote>
  <w:footnote w:id="1">
    <w:p w:rsidR="00E33C69" w:rsidRDefault="00E33C69" w:rsidP="009C4020">
      <w:pPr>
        <w:pStyle w:val="FootnoteText"/>
      </w:pPr>
      <w:r>
        <w:rPr>
          <w:rStyle w:val="FootnoteReference"/>
        </w:rPr>
        <w:footnoteRef/>
      </w:r>
      <w:r>
        <w:t xml:space="preserve"> </w:t>
      </w:r>
      <w:r>
        <w:rPr>
          <w:rFonts w:cs="Arial"/>
          <w:szCs w:val="24"/>
        </w:rPr>
        <w:t>Gross contamination of suction equipment is an extraordinary event. Normal precautions such as the appropriate use of collection canisters, gravity trap bottles, and hydrophobic filters reduce, but do not eliminate the probability of such events.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27"/>
    <w:multiLevelType w:val="hybridMultilevel"/>
    <w:tmpl w:val="89D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56C4"/>
    <w:multiLevelType w:val="hybridMultilevel"/>
    <w:tmpl w:val="CBDC2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E70A4"/>
    <w:multiLevelType w:val="hybridMultilevel"/>
    <w:tmpl w:val="B4C0E264"/>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579FE"/>
    <w:multiLevelType w:val="hybridMultilevel"/>
    <w:tmpl w:val="06FC74D6"/>
    <w:lvl w:ilvl="0" w:tplc="04090001">
      <w:start w:val="1"/>
      <w:numFmt w:val="bullet"/>
      <w:lvlText w:val=""/>
      <w:lvlJc w:val="left"/>
      <w:pPr>
        <w:ind w:left="1080" w:hanging="360"/>
      </w:pPr>
      <w:rPr>
        <w:rFonts w:ascii="Symbol" w:hAnsi="Symbol" w:hint="default"/>
      </w:rPr>
    </w:lvl>
    <w:lvl w:ilvl="1" w:tplc="4822B174">
      <w:start w:val="1"/>
      <w:numFmt w:val="bullet"/>
      <w:lvlText w:val=""/>
      <w:lvlJc w:val="left"/>
      <w:pPr>
        <w:ind w:left="630" w:hanging="360"/>
      </w:pPr>
      <w:rPr>
        <w:rFonts w:ascii="Symbol" w:hAnsi="Symbol" w:hint="default"/>
        <w:sz w:val="24"/>
        <w:szCs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F4CD7"/>
    <w:multiLevelType w:val="hybridMultilevel"/>
    <w:tmpl w:val="7FF8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10507"/>
    <w:multiLevelType w:val="singleLevel"/>
    <w:tmpl w:val="0B0C3DDA"/>
    <w:lvl w:ilvl="0">
      <w:start w:val="1"/>
      <w:numFmt w:val="decimal"/>
      <w:lvlText w:val="%1."/>
      <w:lvlJc w:val="left"/>
      <w:pPr>
        <w:tabs>
          <w:tab w:val="num" w:pos="720"/>
        </w:tabs>
        <w:ind w:left="720" w:hanging="720"/>
      </w:pPr>
      <w:rPr>
        <w:rFonts w:hint="default"/>
      </w:rPr>
    </w:lvl>
  </w:abstractNum>
  <w:abstractNum w:abstractNumId="6" w15:restartNumberingAfterBreak="0">
    <w:nsid w:val="18E24B04"/>
    <w:multiLevelType w:val="hybridMultilevel"/>
    <w:tmpl w:val="28B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576D9"/>
    <w:multiLevelType w:val="hybridMultilevel"/>
    <w:tmpl w:val="4DF0587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E665EA0"/>
    <w:multiLevelType w:val="hybridMultilevel"/>
    <w:tmpl w:val="EE4ED9F0"/>
    <w:lvl w:ilvl="0" w:tplc="AFE0BC1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07669"/>
    <w:multiLevelType w:val="hybridMultilevel"/>
    <w:tmpl w:val="DC68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30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216E2"/>
    <w:multiLevelType w:val="hybridMultilevel"/>
    <w:tmpl w:val="3A4CE2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ED3935"/>
    <w:multiLevelType w:val="hybridMultilevel"/>
    <w:tmpl w:val="BEB85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664218"/>
    <w:multiLevelType w:val="hybridMultilevel"/>
    <w:tmpl w:val="BA68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51DBD"/>
    <w:multiLevelType w:val="hybridMultilevel"/>
    <w:tmpl w:val="1858675E"/>
    <w:lvl w:ilvl="0" w:tplc="AFE0BC1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740A7"/>
    <w:multiLevelType w:val="hybridMultilevel"/>
    <w:tmpl w:val="2B9C7744"/>
    <w:lvl w:ilvl="0" w:tplc="AFE0BC1E">
      <w:start w:val="1"/>
      <w:numFmt w:val="bullet"/>
      <w:lvlText w:val=""/>
      <w:lvlJc w:val="left"/>
      <w:pPr>
        <w:tabs>
          <w:tab w:val="num" w:pos="780"/>
        </w:tabs>
        <w:ind w:left="780" w:hanging="360"/>
      </w:pPr>
      <w:rPr>
        <w:rFonts w:ascii="Wingdings" w:hAnsi="Wingdings"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5C800F5"/>
    <w:multiLevelType w:val="hybridMultilevel"/>
    <w:tmpl w:val="3210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B4CD3"/>
    <w:multiLevelType w:val="hybridMultilevel"/>
    <w:tmpl w:val="8970049A"/>
    <w:lvl w:ilvl="0" w:tplc="C9F2CA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03A89"/>
    <w:multiLevelType w:val="hybridMultilevel"/>
    <w:tmpl w:val="CCDCA372"/>
    <w:lvl w:ilvl="0" w:tplc="0409000F">
      <w:start w:val="1"/>
      <w:numFmt w:val="decimal"/>
      <w:lvlText w:val="%1."/>
      <w:lvlJc w:val="left"/>
      <w:pPr>
        <w:ind w:left="1080" w:hanging="360"/>
      </w:pPr>
      <w:rPr>
        <w:rFonts w:hint="default"/>
      </w:rPr>
    </w:lvl>
    <w:lvl w:ilvl="1" w:tplc="4822B174">
      <w:start w:val="1"/>
      <w:numFmt w:val="bullet"/>
      <w:lvlText w:val=""/>
      <w:lvlJc w:val="left"/>
      <w:pPr>
        <w:ind w:left="1800" w:hanging="360"/>
      </w:pPr>
      <w:rPr>
        <w:rFonts w:ascii="Symbol" w:hAnsi="Symbol" w:hint="default"/>
        <w:sz w:val="24"/>
        <w:szCs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586180"/>
    <w:multiLevelType w:val="hybridMultilevel"/>
    <w:tmpl w:val="DCAC5C8C"/>
    <w:lvl w:ilvl="0" w:tplc="BD44821C">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0" w15:restartNumberingAfterBreak="0">
    <w:nsid w:val="3BBD7572"/>
    <w:multiLevelType w:val="hybridMultilevel"/>
    <w:tmpl w:val="F31AAEAA"/>
    <w:lvl w:ilvl="0" w:tplc="AFE0BC1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A59D0"/>
    <w:multiLevelType w:val="hybridMultilevel"/>
    <w:tmpl w:val="796EF460"/>
    <w:lvl w:ilvl="0" w:tplc="4822B17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3DDB3F6C"/>
    <w:multiLevelType w:val="hybridMultilevel"/>
    <w:tmpl w:val="8CD657D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BE155A"/>
    <w:multiLevelType w:val="hybridMultilevel"/>
    <w:tmpl w:val="8F6CA4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86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F76902"/>
    <w:multiLevelType w:val="hybridMultilevel"/>
    <w:tmpl w:val="9398DB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5B6657"/>
    <w:multiLevelType w:val="hybridMultilevel"/>
    <w:tmpl w:val="3E409D52"/>
    <w:lvl w:ilvl="0" w:tplc="04090001">
      <w:start w:val="1"/>
      <w:numFmt w:val="bullet"/>
      <w:lvlText w:val=""/>
      <w:lvlJc w:val="left"/>
      <w:pPr>
        <w:tabs>
          <w:tab w:val="num" w:pos="900"/>
        </w:tabs>
        <w:ind w:left="900" w:hanging="360"/>
      </w:pPr>
      <w:rPr>
        <w:rFonts w:ascii="Symbol" w:hAnsi="Symbol" w:hint="default"/>
        <w:sz w:val="24"/>
        <w:szCs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59D78D3"/>
    <w:multiLevelType w:val="hybridMultilevel"/>
    <w:tmpl w:val="14D45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5F0B0D"/>
    <w:multiLevelType w:val="hybridMultilevel"/>
    <w:tmpl w:val="35D8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73BFB"/>
    <w:multiLevelType w:val="hybridMultilevel"/>
    <w:tmpl w:val="77CE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70E09"/>
    <w:multiLevelType w:val="hybridMultilevel"/>
    <w:tmpl w:val="3E00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B50265"/>
    <w:multiLevelType w:val="hybridMultilevel"/>
    <w:tmpl w:val="04E4EC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13C5B24"/>
    <w:multiLevelType w:val="hybridMultilevel"/>
    <w:tmpl w:val="6D085564"/>
    <w:lvl w:ilvl="0" w:tplc="AFE0BC1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70C84"/>
    <w:multiLevelType w:val="hybridMultilevel"/>
    <w:tmpl w:val="D22803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1027B7"/>
    <w:multiLevelType w:val="hybridMultilevel"/>
    <w:tmpl w:val="9996A852"/>
    <w:lvl w:ilvl="0" w:tplc="4822B17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15:restartNumberingAfterBreak="0">
    <w:nsid w:val="7A026F3A"/>
    <w:multiLevelType w:val="hybridMultilevel"/>
    <w:tmpl w:val="678A9D1C"/>
    <w:lvl w:ilvl="0" w:tplc="0409000F">
      <w:start w:val="1"/>
      <w:numFmt w:val="decimal"/>
      <w:lvlText w:val="%1."/>
      <w:lvlJc w:val="left"/>
      <w:pPr>
        <w:tabs>
          <w:tab w:val="num" w:pos="2970"/>
        </w:tabs>
        <w:ind w:left="2970" w:hanging="360"/>
      </w:pPr>
      <w:rPr>
        <w:rFonts w:hint="default"/>
      </w:rPr>
    </w:lvl>
    <w:lvl w:ilvl="1" w:tplc="04090019" w:tentative="1">
      <w:start w:val="1"/>
      <w:numFmt w:val="lowerLetter"/>
      <w:lvlText w:val="%2."/>
      <w:lvlJc w:val="left"/>
      <w:pPr>
        <w:tabs>
          <w:tab w:val="num" w:pos="3690"/>
        </w:tabs>
        <w:ind w:left="3690" w:hanging="360"/>
      </w:p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abstractNum w:abstractNumId="36" w15:restartNumberingAfterBreak="0">
    <w:nsid w:val="7B901E2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BA41139"/>
    <w:multiLevelType w:val="hybridMultilevel"/>
    <w:tmpl w:val="D570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F59C4"/>
    <w:multiLevelType w:val="hybridMultilevel"/>
    <w:tmpl w:val="ED7EAAF8"/>
    <w:lvl w:ilvl="0" w:tplc="4822B174">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4"/>
  </w:num>
  <w:num w:numId="3">
    <w:abstractNumId w:val="10"/>
  </w:num>
  <w:num w:numId="4">
    <w:abstractNumId w:val="36"/>
  </w:num>
  <w:num w:numId="5">
    <w:abstractNumId w:val="33"/>
  </w:num>
  <w:num w:numId="6">
    <w:abstractNumId w:val="31"/>
  </w:num>
  <w:num w:numId="7">
    <w:abstractNumId w:val="11"/>
  </w:num>
  <w:num w:numId="8">
    <w:abstractNumId w:val="27"/>
  </w:num>
  <w:num w:numId="9">
    <w:abstractNumId w:val="5"/>
  </w:num>
  <w:num w:numId="10">
    <w:abstractNumId w:val="1"/>
  </w:num>
  <w:num w:numId="11">
    <w:abstractNumId w:val="26"/>
  </w:num>
  <w:num w:numId="12">
    <w:abstractNumId w:val="20"/>
  </w:num>
  <w:num w:numId="13">
    <w:abstractNumId w:val="8"/>
  </w:num>
  <w:num w:numId="14">
    <w:abstractNumId w:val="15"/>
  </w:num>
  <w:num w:numId="15">
    <w:abstractNumId w:val="32"/>
  </w:num>
  <w:num w:numId="16">
    <w:abstractNumId w:val="14"/>
  </w:num>
  <w:num w:numId="17">
    <w:abstractNumId w:val="2"/>
  </w:num>
  <w:num w:numId="18">
    <w:abstractNumId w:val="12"/>
  </w:num>
  <w:num w:numId="19">
    <w:abstractNumId w:val="22"/>
  </w:num>
  <w:num w:numId="20">
    <w:abstractNumId w:val="19"/>
  </w:num>
  <w:num w:numId="21">
    <w:abstractNumId w:val="3"/>
  </w:num>
  <w:num w:numId="22">
    <w:abstractNumId w:val="37"/>
  </w:num>
  <w:num w:numId="23">
    <w:abstractNumId w:val="6"/>
  </w:num>
  <w:num w:numId="24">
    <w:abstractNumId w:val="0"/>
  </w:num>
  <w:num w:numId="25">
    <w:abstractNumId w:val="30"/>
  </w:num>
  <w:num w:numId="26">
    <w:abstractNumId w:val="28"/>
  </w:num>
  <w:num w:numId="27">
    <w:abstractNumId w:val="4"/>
  </w:num>
  <w:num w:numId="28">
    <w:abstractNumId w:val="29"/>
  </w:num>
  <w:num w:numId="29">
    <w:abstractNumId w:val="23"/>
  </w:num>
  <w:num w:numId="30">
    <w:abstractNumId w:val="13"/>
  </w:num>
  <w:num w:numId="31">
    <w:abstractNumId w:val="17"/>
  </w:num>
  <w:num w:numId="32">
    <w:abstractNumId w:val="38"/>
  </w:num>
  <w:num w:numId="33">
    <w:abstractNumId w:val="21"/>
  </w:num>
  <w:num w:numId="34">
    <w:abstractNumId w:val="34"/>
  </w:num>
  <w:num w:numId="35">
    <w:abstractNumId w:val="7"/>
  </w:num>
  <w:num w:numId="36">
    <w:abstractNumId w:val="9"/>
  </w:num>
  <w:num w:numId="37">
    <w:abstractNumId w:val="16"/>
  </w:num>
  <w:num w:numId="38">
    <w:abstractNumId w:val="18"/>
  </w:num>
  <w:num w:numId="3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2EB9"/>
    <w:rsid w:val="000040F3"/>
    <w:rsid w:val="000065E5"/>
    <w:rsid w:val="000507FA"/>
    <w:rsid w:val="00053F4D"/>
    <w:rsid w:val="00054BC7"/>
    <w:rsid w:val="00071EF7"/>
    <w:rsid w:val="00080C32"/>
    <w:rsid w:val="000A1CC5"/>
    <w:rsid w:val="000A4E95"/>
    <w:rsid w:val="000A503D"/>
    <w:rsid w:val="000A7801"/>
    <w:rsid w:val="000D18D4"/>
    <w:rsid w:val="000D73AE"/>
    <w:rsid w:val="000F2EB9"/>
    <w:rsid w:val="000F74ED"/>
    <w:rsid w:val="0010110F"/>
    <w:rsid w:val="001047B2"/>
    <w:rsid w:val="00104F75"/>
    <w:rsid w:val="0011350A"/>
    <w:rsid w:val="00125FDB"/>
    <w:rsid w:val="00134022"/>
    <w:rsid w:val="00134232"/>
    <w:rsid w:val="0014266D"/>
    <w:rsid w:val="00151F7F"/>
    <w:rsid w:val="00162B31"/>
    <w:rsid w:val="00176688"/>
    <w:rsid w:val="001807CF"/>
    <w:rsid w:val="001823AB"/>
    <w:rsid w:val="0019448C"/>
    <w:rsid w:val="001A0414"/>
    <w:rsid w:val="001A04AD"/>
    <w:rsid w:val="001A26EC"/>
    <w:rsid w:val="001A4ADC"/>
    <w:rsid w:val="001C2164"/>
    <w:rsid w:val="00201163"/>
    <w:rsid w:val="002133B7"/>
    <w:rsid w:val="00226C03"/>
    <w:rsid w:val="00227CAF"/>
    <w:rsid w:val="002348EB"/>
    <w:rsid w:val="00245A8D"/>
    <w:rsid w:val="00250644"/>
    <w:rsid w:val="00265B5E"/>
    <w:rsid w:val="00274E73"/>
    <w:rsid w:val="00284B02"/>
    <w:rsid w:val="00285871"/>
    <w:rsid w:val="00293A6F"/>
    <w:rsid w:val="002A059E"/>
    <w:rsid w:val="002A529D"/>
    <w:rsid w:val="002A68EA"/>
    <w:rsid w:val="002C02F2"/>
    <w:rsid w:val="002C7694"/>
    <w:rsid w:val="002E7DD2"/>
    <w:rsid w:val="002F034E"/>
    <w:rsid w:val="002F7563"/>
    <w:rsid w:val="00302A40"/>
    <w:rsid w:val="00336CE9"/>
    <w:rsid w:val="003372A5"/>
    <w:rsid w:val="00357B45"/>
    <w:rsid w:val="003610DA"/>
    <w:rsid w:val="00362DB1"/>
    <w:rsid w:val="00371600"/>
    <w:rsid w:val="0038082A"/>
    <w:rsid w:val="00391279"/>
    <w:rsid w:val="003962DC"/>
    <w:rsid w:val="0039726C"/>
    <w:rsid w:val="003A0ED8"/>
    <w:rsid w:val="003B1906"/>
    <w:rsid w:val="003B226B"/>
    <w:rsid w:val="003B571F"/>
    <w:rsid w:val="003B789C"/>
    <w:rsid w:val="003C3009"/>
    <w:rsid w:val="003C34BA"/>
    <w:rsid w:val="003C3960"/>
    <w:rsid w:val="003C48AF"/>
    <w:rsid w:val="003C7C15"/>
    <w:rsid w:val="003D0D08"/>
    <w:rsid w:val="003E2EB7"/>
    <w:rsid w:val="004018AE"/>
    <w:rsid w:val="00405722"/>
    <w:rsid w:val="00410CEB"/>
    <w:rsid w:val="00424052"/>
    <w:rsid w:val="004276E4"/>
    <w:rsid w:val="00434948"/>
    <w:rsid w:val="00435FEF"/>
    <w:rsid w:val="004445AA"/>
    <w:rsid w:val="00444FFF"/>
    <w:rsid w:val="00450D49"/>
    <w:rsid w:val="00454DAA"/>
    <w:rsid w:val="00457858"/>
    <w:rsid w:val="00457AED"/>
    <w:rsid w:val="00460D42"/>
    <w:rsid w:val="00464D2B"/>
    <w:rsid w:val="00465567"/>
    <w:rsid w:val="004748A0"/>
    <w:rsid w:val="004748E8"/>
    <w:rsid w:val="00486B47"/>
    <w:rsid w:val="004A0B6A"/>
    <w:rsid w:val="004A390D"/>
    <w:rsid w:val="004D11CF"/>
    <w:rsid w:val="004D782E"/>
    <w:rsid w:val="004D7CC4"/>
    <w:rsid w:val="004E48CC"/>
    <w:rsid w:val="004E4E87"/>
    <w:rsid w:val="004E4F68"/>
    <w:rsid w:val="004E7EF9"/>
    <w:rsid w:val="00501312"/>
    <w:rsid w:val="00504C5F"/>
    <w:rsid w:val="00531EAA"/>
    <w:rsid w:val="0053436A"/>
    <w:rsid w:val="00543B44"/>
    <w:rsid w:val="00563A0D"/>
    <w:rsid w:val="00570D00"/>
    <w:rsid w:val="005811DB"/>
    <w:rsid w:val="005C3264"/>
    <w:rsid w:val="005D02EE"/>
    <w:rsid w:val="005D70C3"/>
    <w:rsid w:val="005E2233"/>
    <w:rsid w:val="0060589A"/>
    <w:rsid w:val="006205CE"/>
    <w:rsid w:val="006262F9"/>
    <w:rsid w:val="006359C2"/>
    <w:rsid w:val="006438E5"/>
    <w:rsid w:val="006500A0"/>
    <w:rsid w:val="0065648A"/>
    <w:rsid w:val="00674D1F"/>
    <w:rsid w:val="0068098C"/>
    <w:rsid w:val="006874A6"/>
    <w:rsid w:val="00692A64"/>
    <w:rsid w:val="00694DF3"/>
    <w:rsid w:val="006A5418"/>
    <w:rsid w:val="006B18BE"/>
    <w:rsid w:val="006B4ABA"/>
    <w:rsid w:val="006C0F2C"/>
    <w:rsid w:val="006C1CEC"/>
    <w:rsid w:val="006D0E75"/>
    <w:rsid w:val="006D3AC9"/>
    <w:rsid w:val="006D5CC8"/>
    <w:rsid w:val="006E2DD7"/>
    <w:rsid w:val="006E5B61"/>
    <w:rsid w:val="006F06A7"/>
    <w:rsid w:val="00704A9F"/>
    <w:rsid w:val="00712DF4"/>
    <w:rsid w:val="00713165"/>
    <w:rsid w:val="007146FE"/>
    <w:rsid w:val="00717D77"/>
    <w:rsid w:val="00722EEA"/>
    <w:rsid w:val="007418F0"/>
    <w:rsid w:val="00747038"/>
    <w:rsid w:val="00763572"/>
    <w:rsid w:val="0077100A"/>
    <w:rsid w:val="00775B26"/>
    <w:rsid w:val="00780DE7"/>
    <w:rsid w:val="00781F86"/>
    <w:rsid w:val="00791375"/>
    <w:rsid w:val="007914EA"/>
    <w:rsid w:val="00796295"/>
    <w:rsid w:val="007B24B1"/>
    <w:rsid w:val="007C1365"/>
    <w:rsid w:val="007D036A"/>
    <w:rsid w:val="007E1018"/>
    <w:rsid w:val="007E171D"/>
    <w:rsid w:val="007F21D1"/>
    <w:rsid w:val="0080785C"/>
    <w:rsid w:val="0082275B"/>
    <w:rsid w:val="008273B5"/>
    <w:rsid w:val="00843F46"/>
    <w:rsid w:val="008512E7"/>
    <w:rsid w:val="008664B1"/>
    <w:rsid w:val="00875AD0"/>
    <w:rsid w:val="00877A85"/>
    <w:rsid w:val="00887FE4"/>
    <w:rsid w:val="00890F30"/>
    <w:rsid w:val="008B1F42"/>
    <w:rsid w:val="008C7E20"/>
    <w:rsid w:val="008E3B96"/>
    <w:rsid w:val="008E4D9F"/>
    <w:rsid w:val="00930061"/>
    <w:rsid w:val="00932023"/>
    <w:rsid w:val="009404E0"/>
    <w:rsid w:val="0094307B"/>
    <w:rsid w:val="009531E2"/>
    <w:rsid w:val="0097336B"/>
    <w:rsid w:val="00980528"/>
    <w:rsid w:val="00987B8E"/>
    <w:rsid w:val="009B5719"/>
    <w:rsid w:val="009C4020"/>
    <w:rsid w:val="009D49F5"/>
    <w:rsid w:val="00A141CB"/>
    <w:rsid w:val="00A17EAA"/>
    <w:rsid w:val="00A2196A"/>
    <w:rsid w:val="00A22E44"/>
    <w:rsid w:val="00A26FD7"/>
    <w:rsid w:val="00A369A5"/>
    <w:rsid w:val="00A42968"/>
    <w:rsid w:val="00A60190"/>
    <w:rsid w:val="00A67FC4"/>
    <w:rsid w:val="00A97DC4"/>
    <w:rsid w:val="00AA269E"/>
    <w:rsid w:val="00AC306E"/>
    <w:rsid w:val="00AE162A"/>
    <w:rsid w:val="00AE6A27"/>
    <w:rsid w:val="00AF031E"/>
    <w:rsid w:val="00B0489F"/>
    <w:rsid w:val="00B105D7"/>
    <w:rsid w:val="00B41C96"/>
    <w:rsid w:val="00B6144F"/>
    <w:rsid w:val="00B642AB"/>
    <w:rsid w:val="00B65078"/>
    <w:rsid w:val="00B720C2"/>
    <w:rsid w:val="00B73E5D"/>
    <w:rsid w:val="00B7428C"/>
    <w:rsid w:val="00B85D2C"/>
    <w:rsid w:val="00B86D5A"/>
    <w:rsid w:val="00B966BD"/>
    <w:rsid w:val="00B974A7"/>
    <w:rsid w:val="00BB11CF"/>
    <w:rsid w:val="00BB6C0E"/>
    <w:rsid w:val="00BC2E4C"/>
    <w:rsid w:val="00BC50A8"/>
    <w:rsid w:val="00BD24AB"/>
    <w:rsid w:val="00BF1C72"/>
    <w:rsid w:val="00BF1D30"/>
    <w:rsid w:val="00BF626B"/>
    <w:rsid w:val="00BF63EB"/>
    <w:rsid w:val="00C00492"/>
    <w:rsid w:val="00C22A2C"/>
    <w:rsid w:val="00C2603C"/>
    <w:rsid w:val="00C30B1D"/>
    <w:rsid w:val="00C358C4"/>
    <w:rsid w:val="00C424C0"/>
    <w:rsid w:val="00C543BE"/>
    <w:rsid w:val="00C55834"/>
    <w:rsid w:val="00C616AA"/>
    <w:rsid w:val="00C80363"/>
    <w:rsid w:val="00C819B3"/>
    <w:rsid w:val="00C91537"/>
    <w:rsid w:val="00CA0277"/>
    <w:rsid w:val="00CB101D"/>
    <w:rsid w:val="00CB46E7"/>
    <w:rsid w:val="00CC29C0"/>
    <w:rsid w:val="00CD0EB9"/>
    <w:rsid w:val="00CD45D9"/>
    <w:rsid w:val="00CD5E1C"/>
    <w:rsid w:val="00CF0F8A"/>
    <w:rsid w:val="00D046F5"/>
    <w:rsid w:val="00D245E1"/>
    <w:rsid w:val="00D51CAD"/>
    <w:rsid w:val="00D523B5"/>
    <w:rsid w:val="00D57741"/>
    <w:rsid w:val="00D62E25"/>
    <w:rsid w:val="00D66BD3"/>
    <w:rsid w:val="00D709F1"/>
    <w:rsid w:val="00D746F2"/>
    <w:rsid w:val="00D77799"/>
    <w:rsid w:val="00D90B5D"/>
    <w:rsid w:val="00D94B23"/>
    <w:rsid w:val="00DA59D7"/>
    <w:rsid w:val="00DC1AD7"/>
    <w:rsid w:val="00DC544B"/>
    <w:rsid w:val="00DE41D6"/>
    <w:rsid w:val="00DF1D66"/>
    <w:rsid w:val="00E01326"/>
    <w:rsid w:val="00E224DA"/>
    <w:rsid w:val="00E33C69"/>
    <w:rsid w:val="00E35225"/>
    <w:rsid w:val="00E36F8E"/>
    <w:rsid w:val="00E4352F"/>
    <w:rsid w:val="00E606BA"/>
    <w:rsid w:val="00E70C9F"/>
    <w:rsid w:val="00E72361"/>
    <w:rsid w:val="00E72CA9"/>
    <w:rsid w:val="00E74B74"/>
    <w:rsid w:val="00E74BC4"/>
    <w:rsid w:val="00E836FF"/>
    <w:rsid w:val="00E84292"/>
    <w:rsid w:val="00E91295"/>
    <w:rsid w:val="00E93BBA"/>
    <w:rsid w:val="00EA0FEF"/>
    <w:rsid w:val="00EA386E"/>
    <w:rsid w:val="00EB767D"/>
    <w:rsid w:val="00EC0750"/>
    <w:rsid w:val="00EC7DBB"/>
    <w:rsid w:val="00ED1890"/>
    <w:rsid w:val="00ED3B69"/>
    <w:rsid w:val="00EE424A"/>
    <w:rsid w:val="00EE5ADB"/>
    <w:rsid w:val="00EE6D52"/>
    <w:rsid w:val="00EF08B5"/>
    <w:rsid w:val="00EF530F"/>
    <w:rsid w:val="00F041EE"/>
    <w:rsid w:val="00F17CBC"/>
    <w:rsid w:val="00F26401"/>
    <w:rsid w:val="00F56CC4"/>
    <w:rsid w:val="00F60DC2"/>
    <w:rsid w:val="00F61A46"/>
    <w:rsid w:val="00F62C0D"/>
    <w:rsid w:val="00F649F9"/>
    <w:rsid w:val="00F65545"/>
    <w:rsid w:val="00F751AB"/>
    <w:rsid w:val="00F81C74"/>
    <w:rsid w:val="00FD0AFC"/>
    <w:rsid w:val="00FD11BE"/>
    <w:rsid w:val="00FD2052"/>
    <w:rsid w:val="00FE56B5"/>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206"/>
        <o:r id="V:Rule2" type="connector" idref="#_x0000_s1196"/>
        <o:r id="V:Rule3" type="connector" idref="#_x0000_s1197"/>
        <o:r id="V:Rule4" type="connector" idref="#_x0000_s1198"/>
        <o:r id="V:Rule5" type="connector" idref="#_x0000_s1210"/>
        <o:r id="V:Rule6" type="connector" idref="#_x0000_s1211"/>
      </o:rules>
    </o:shapelayout>
  </w:shapeDefaults>
  <w:decimalSymbol w:val="."/>
  <w:listSeparator w:val=","/>
  <w15:docId w15:val="{CA48B902-F049-4027-B365-DE6A07A2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31E2"/>
    <w:rPr>
      <w:sz w:val="24"/>
      <w:szCs w:val="24"/>
    </w:rPr>
  </w:style>
  <w:style w:type="paragraph" w:styleId="Heading1">
    <w:name w:val="heading 1"/>
    <w:basedOn w:val="Normal"/>
    <w:next w:val="Normal"/>
    <w:qFormat/>
    <w:rsid w:val="009531E2"/>
    <w:pPr>
      <w:keepNext/>
      <w:outlineLvl w:val="0"/>
    </w:pPr>
    <w:rPr>
      <w:rFonts w:ascii="Arial" w:hAnsi="Arial"/>
      <w:b/>
      <w:szCs w:val="20"/>
      <w:u w:val="single"/>
    </w:rPr>
  </w:style>
  <w:style w:type="paragraph" w:styleId="Heading2">
    <w:name w:val="heading 2"/>
    <w:basedOn w:val="Normal"/>
    <w:next w:val="Normal"/>
    <w:qFormat/>
    <w:rsid w:val="009531E2"/>
    <w:pPr>
      <w:keepNext/>
      <w:ind w:left="720"/>
      <w:outlineLvl w:val="1"/>
    </w:pPr>
    <w:rPr>
      <w:rFonts w:ascii="Arial" w:hAnsi="Arial"/>
      <w:b/>
      <w:szCs w:val="20"/>
      <w:u w:val="single"/>
    </w:rPr>
  </w:style>
  <w:style w:type="paragraph" w:styleId="Heading3">
    <w:name w:val="heading 3"/>
    <w:basedOn w:val="Normal"/>
    <w:next w:val="Normal"/>
    <w:qFormat/>
    <w:rsid w:val="009531E2"/>
    <w:pPr>
      <w:keepNext/>
      <w:tabs>
        <w:tab w:val="left" w:pos="720"/>
        <w:tab w:val="left" w:pos="2160"/>
      </w:tabs>
      <w:ind w:firstLine="720"/>
      <w:jc w:val="both"/>
      <w:outlineLvl w:val="2"/>
    </w:pPr>
    <w:rPr>
      <w:rFonts w:ascii="Arial" w:hAnsi="Arial" w:cs="Arial"/>
      <w:b/>
      <w:sz w:val="20"/>
    </w:rPr>
  </w:style>
  <w:style w:type="paragraph" w:styleId="Heading4">
    <w:name w:val="heading 4"/>
    <w:basedOn w:val="Normal"/>
    <w:next w:val="Normal"/>
    <w:qFormat/>
    <w:rsid w:val="009531E2"/>
    <w:pPr>
      <w:keepNext/>
      <w:tabs>
        <w:tab w:val="left" w:pos="720"/>
        <w:tab w:val="left" w:pos="2160"/>
      </w:tabs>
      <w:ind w:left="-720"/>
      <w:jc w:val="both"/>
      <w:outlineLvl w:val="3"/>
    </w:pPr>
    <w:rPr>
      <w:rFonts w:ascii="Arial" w:hAnsi="Arial" w:cs="Arial"/>
      <w:b/>
      <w:sz w:val="20"/>
    </w:rPr>
  </w:style>
  <w:style w:type="paragraph" w:styleId="Heading5">
    <w:name w:val="heading 5"/>
    <w:basedOn w:val="Normal"/>
    <w:next w:val="Normal"/>
    <w:qFormat/>
    <w:rsid w:val="009531E2"/>
    <w:pPr>
      <w:keepNext/>
      <w:ind w:left="-720"/>
      <w:outlineLvl w:val="4"/>
    </w:pPr>
    <w:rPr>
      <w:rFonts w:ascii="Arial Narrow" w:hAnsi="Arial Narrow"/>
      <w:b/>
      <w:bCs/>
    </w:rPr>
  </w:style>
  <w:style w:type="paragraph" w:styleId="Heading6">
    <w:name w:val="heading 6"/>
    <w:basedOn w:val="Normal"/>
    <w:next w:val="Normal"/>
    <w:qFormat/>
    <w:rsid w:val="009531E2"/>
    <w:pPr>
      <w:keepNext/>
      <w:outlineLvl w:val="5"/>
    </w:pPr>
    <w:rPr>
      <w:rFonts w:ascii="Arial" w:hAnsi="Arial" w:cs="Arial"/>
      <w:b/>
      <w:bCs/>
      <w:color w:val="FFFFFF"/>
      <w:sz w:val="16"/>
    </w:rPr>
  </w:style>
  <w:style w:type="paragraph" w:styleId="Heading7">
    <w:name w:val="heading 7"/>
    <w:basedOn w:val="Normal"/>
    <w:next w:val="Normal"/>
    <w:qFormat/>
    <w:rsid w:val="009531E2"/>
    <w:pPr>
      <w:keepNext/>
      <w:jc w:val="center"/>
      <w:outlineLvl w:val="6"/>
    </w:pPr>
    <w:rPr>
      <w:rFonts w:ascii="Arial" w:hAnsi="Arial" w:cs="Arial"/>
      <w:b/>
      <w:bCs/>
      <w:u w:val="single"/>
    </w:rPr>
  </w:style>
  <w:style w:type="paragraph" w:styleId="Heading8">
    <w:name w:val="heading 8"/>
    <w:basedOn w:val="Normal"/>
    <w:next w:val="Normal"/>
    <w:qFormat/>
    <w:rsid w:val="009531E2"/>
    <w:pPr>
      <w:keepNext/>
      <w:outlineLvl w:val="7"/>
    </w:pPr>
    <w:rPr>
      <w:rFonts w:ascii="Arial" w:hAnsi="Arial"/>
      <w:sz w:val="144"/>
      <w:szCs w:val="20"/>
    </w:rPr>
  </w:style>
  <w:style w:type="paragraph" w:styleId="Heading9">
    <w:name w:val="heading 9"/>
    <w:basedOn w:val="Normal"/>
    <w:next w:val="Normal"/>
    <w:qFormat/>
    <w:rsid w:val="009531E2"/>
    <w:pPr>
      <w:keepNext/>
      <w:outlineLvl w:val="8"/>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531E2"/>
    <w:pPr>
      <w:tabs>
        <w:tab w:val="center" w:pos="4320"/>
        <w:tab w:val="right" w:pos="8640"/>
      </w:tabs>
    </w:pPr>
    <w:rPr>
      <w:rFonts w:ascii="Arial" w:hAnsi="Arial"/>
      <w:szCs w:val="20"/>
    </w:rPr>
  </w:style>
  <w:style w:type="paragraph" w:styleId="BodyText">
    <w:name w:val="Body Text"/>
    <w:basedOn w:val="Normal"/>
    <w:semiHidden/>
    <w:rsid w:val="009531E2"/>
    <w:rPr>
      <w:rFonts w:ascii="Arial" w:hAnsi="Arial"/>
      <w:sz w:val="28"/>
      <w:szCs w:val="20"/>
    </w:rPr>
  </w:style>
  <w:style w:type="paragraph" w:styleId="BodyText2">
    <w:name w:val="Body Text 2"/>
    <w:basedOn w:val="Normal"/>
    <w:semiHidden/>
    <w:rsid w:val="009531E2"/>
    <w:rPr>
      <w:rFonts w:ascii="Arial" w:hAnsi="Arial"/>
      <w:szCs w:val="20"/>
    </w:rPr>
  </w:style>
  <w:style w:type="paragraph" w:styleId="BodyText3">
    <w:name w:val="Body Text 3"/>
    <w:basedOn w:val="Normal"/>
    <w:rsid w:val="009531E2"/>
    <w:rPr>
      <w:b/>
      <w:bCs/>
      <w:i/>
      <w:iCs/>
      <w:sz w:val="28"/>
    </w:rPr>
  </w:style>
  <w:style w:type="paragraph" w:styleId="Caption">
    <w:name w:val="caption"/>
    <w:basedOn w:val="Normal"/>
    <w:next w:val="Normal"/>
    <w:qFormat/>
    <w:rsid w:val="009531E2"/>
    <w:pPr>
      <w:tabs>
        <w:tab w:val="left" w:pos="720"/>
        <w:tab w:val="left" w:pos="1800"/>
      </w:tabs>
      <w:ind w:left="1800" w:hanging="2520"/>
      <w:jc w:val="both"/>
    </w:pPr>
    <w:rPr>
      <w:rFonts w:ascii="Arial Narrow" w:hAnsi="Arial Narrow" w:cs="Arial"/>
      <w:b/>
    </w:rPr>
  </w:style>
  <w:style w:type="paragraph" w:styleId="BodyTextIndent">
    <w:name w:val="Body Text Indent"/>
    <w:basedOn w:val="Normal"/>
    <w:semiHidden/>
    <w:rsid w:val="009531E2"/>
    <w:pPr>
      <w:ind w:left="1440"/>
      <w:jc w:val="both"/>
    </w:pPr>
    <w:rPr>
      <w:rFonts w:ascii="Arial" w:hAnsi="Arial" w:cs="Arial"/>
      <w:sz w:val="20"/>
      <w:szCs w:val="16"/>
    </w:rPr>
  </w:style>
  <w:style w:type="paragraph" w:styleId="BodyTextIndent2">
    <w:name w:val="Body Text Indent 2"/>
    <w:basedOn w:val="Normal"/>
    <w:semiHidden/>
    <w:rsid w:val="009531E2"/>
    <w:pPr>
      <w:spacing w:after="96"/>
      <w:ind w:left="720"/>
      <w:jc w:val="both"/>
    </w:pPr>
    <w:rPr>
      <w:rFonts w:ascii="Arial" w:hAnsi="Arial" w:cs="Arial"/>
      <w:sz w:val="20"/>
      <w:szCs w:val="16"/>
    </w:rPr>
  </w:style>
  <w:style w:type="paragraph" w:styleId="BodyTextIndent3">
    <w:name w:val="Body Text Indent 3"/>
    <w:basedOn w:val="Normal"/>
    <w:semiHidden/>
    <w:rsid w:val="009531E2"/>
    <w:pPr>
      <w:ind w:left="720" w:hanging="720"/>
      <w:jc w:val="both"/>
    </w:pPr>
    <w:rPr>
      <w:rFonts w:ascii="Arial" w:hAnsi="Arial" w:cs="Arial"/>
      <w:sz w:val="20"/>
    </w:rPr>
  </w:style>
  <w:style w:type="paragraph" w:styleId="Header">
    <w:name w:val="header"/>
    <w:basedOn w:val="Normal"/>
    <w:semiHidden/>
    <w:rsid w:val="009531E2"/>
    <w:pPr>
      <w:tabs>
        <w:tab w:val="center" w:pos="4320"/>
        <w:tab w:val="right" w:pos="8640"/>
      </w:tabs>
    </w:pPr>
  </w:style>
  <w:style w:type="character" w:styleId="PageNumber">
    <w:name w:val="page number"/>
    <w:basedOn w:val="DefaultParagraphFont"/>
    <w:semiHidden/>
    <w:rsid w:val="009531E2"/>
  </w:style>
  <w:style w:type="character" w:styleId="Hyperlink">
    <w:name w:val="Hyperlink"/>
    <w:basedOn w:val="DefaultParagraphFont"/>
    <w:semiHidden/>
    <w:rsid w:val="009531E2"/>
    <w:rPr>
      <w:color w:val="0000FF"/>
      <w:u w:val="single"/>
    </w:rPr>
  </w:style>
  <w:style w:type="character" w:styleId="FollowedHyperlink">
    <w:name w:val="FollowedHyperlink"/>
    <w:basedOn w:val="DefaultParagraphFont"/>
    <w:semiHidden/>
    <w:rsid w:val="009531E2"/>
    <w:rPr>
      <w:color w:val="800080"/>
      <w:u w:val="single"/>
    </w:rPr>
  </w:style>
  <w:style w:type="paragraph" w:styleId="BlockText">
    <w:name w:val="Block Text"/>
    <w:basedOn w:val="Normal"/>
    <w:rsid w:val="000F2EB9"/>
    <w:pPr>
      <w:autoSpaceDE w:val="0"/>
      <w:autoSpaceDN w:val="0"/>
      <w:adjustRightInd w:val="0"/>
      <w:ind w:left="720" w:right="720"/>
      <w:jc w:val="both"/>
    </w:pPr>
    <w:rPr>
      <w:rFonts w:ascii="Arial" w:hAnsi="Arial" w:cs="Arial"/>
      <w:szCs w:val="28"/>
    </w:rPr>
  </w:style>
  <w:style w:type="table" w:styleId="TableGrid">
    <w:name w:val="Table Grid"/>
    <w:basedOn w:val="TableNormal"/>
    <w:uiPriority w:val="59"/>
    <w:rsid w:val="00504C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245E1"/>
    <w:rPr>
      <w:rFonts w:ascii="Tahoma" w:hAnsi="Tahoma" w:cs="Tahoma"/>
      <w:sz w:val="16"/>
      <w:szCs w:val="16"/>
    </w:rPr>
  </w:style>
  <w:style w:type="character" w:customStyle="1" w:styleId="BalloonTextChar">
    <w:name w:val="Balloon Text Char"/>
    <w:basedOn w:val="DefaultParagraphFont"/>
    <w:link w:val="BalloonText"/>
    <w:uiPriority w:val="99"/>
    <w:semiHidden/>
    <w:rsid w:val="00D245E1"/>
    <w:rPr>
      <w:rFonts w:ascii="Tahoma" w:hAnsi="Tahoma" w:cs="Tahoma"/>
      <w:sz w:val="16"/>
      <w:szCs w:val="16"/>
    </w:rPr>
  </w:style>
  <w:style w:type="paragraph" w:styleId="FootnoteText">
    <w:name w:val="footnote text"/>
    <w:basedOn w:val="Normal"/>
    <w:link w:val="FootnoteTextChar"/>
    <w:uiPriority w:val="99"/>
    <w:semiHidden/>
    <w:unhideWhenUsed/>
    <w:rsid w:val="00176688"/>
    <w:rPr>
      <w:sz w:val="20"/>
      <w:szCs w:val="20"/>
    </w:rPr>
  </w:style>
  <w:style w:type="character" w:customStyle="1" w:styleId="FootnoteTextChar">
    <w:name w:val="Footnote Text Char"/>
    <w:basedOn w:val="DefaultParagraphFont"/>
    <w:link w:val="FootnoteText"/>
    <w:uiPriority w:val="99"/>
    <w:semiHidden/>
    <w:rsid w:val="00176688"/>
  </w:style>
  <w:style w:type="character" w:styleId="FootnoteReference">
    <w:name w:val="footnote reference"/>
    <w:basedOn w:val="DefaultParagraphFont"/>
    <w:uiPriority w:val="99"/>
    <w:semiHidden/>
    <w:unhideWhenUsed/>
    <w:rsid w:val="00176688"/>
    <w:rPr>
      <w:vertAlign w:val="superscript"/>
    </w:rPr>
  </w:style>
  <w:style w:type="paragraph" w:styleId="ListParagraph">
    <w:name w:val="List Paragraph"/>
    <w:basedOn w:val="Normal"/>
    <w:uiPriority w:val="34"/>
    <w:qFormat/>
    <w:rsid w:val="00357B45"/>
    <w:pPr>
      <w:ind w:left="720"/>
      <w:contextualSpacing/>
    </w:pPr>
  </w:style>
  <w:style w:type="paragraph" w:customStyle="1" w:styleId="BasicParagraph">
    <w:name w:val="[Basic Paragraph]"/>
    <w:basedOn w:val="Normal"/>
    <w:uiPriority w:val="99"/>
    <w:rsid w:val="00781F86"/>
    <w:pPr>
      <w:autoSpaceDE w:val="0"/>
      <w:autoSpaceDN w:val="0"/>
      <w:adjustRightInd w:val="0"/>
      <w:spacing w:line="288" w:lineRule="auto"/>
      <w:textAlignment w:val="center"/>
    </w:pPr>
    <w:rPr>
      <w:color w:val="000000"/>
    </w:rPr>
  </w:style>
  <w:style w:type="paragraph" w:customStyle="1" w:styleId="Default">
    <w:name w:val="Default"/>
    <w:rsid w:val="00781F8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5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oehringerlabs.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oehringerlabs.com"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9744-5197-4741-AA05-0B574D76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Links>
    <vt:vector size="12" baseType="variant">
      <vt:variant>
        <vt:i4>3473463</vt:i4>
      </vt:variant>
      <vt:variant>
        <vt:i4>3</vt:i4>
      </vt:variant>
      <vt:variant>
        <vt:i4>0</vt:i4>
      </vt:variant>
      <vt:variant>
        <vt:i4>5</vt:i4>
      </vt:variant>
      <vt:variant>
        <vt:lpwstr>http://www.boehringerlabs.com/</vt:lpwstr>
      </vt:variant>
      <vt:variant>
        <vt:lpwstr/>
      </vt:variant>
      <vt:variant>
        <vt:i4>3473463</vt:i4>
      </vt:variant>
      <vt:variant>
        <vt:i4>0</vt:i4>
      </vt:variant>
      <vt:variant>
        <vt:i4>0</vt:i4>
      </vt:variant>
      <vt:variant>
        <vt:i4>5</vt:i4>
      </vt:variant>
      <vt:variant>
        <vt:lpwstr>http://www.boehringerlabs.com/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Pazey</dc:creator>
  <cp:keywords/>
  <dc:description/>
  <cp:lastModifiedBy>Erin Masters</cp:lastModifiedBy>
  <cp:revision>3</cp:revision>
  <cp:lastPrinted>2012-10-22T20:12:00Z</cp:lastPrinted>
  <dcterms:created xsi:type="dcterms:W3CDTF">2017-05-26T16:54:00Z</dcterms:created>
  <dcterms:modified xsi:type="dcterms:W3CDTF">2017-05-26T16:54:00Z</dcterms:modified>
</cp:coreProperties>
</file>